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E29F1" w14:textId="77777777" w:rsidR="00BA68F5" w:rsidRDefault="00A96264">
      <w:pPr>
        <w:pStyle w:val="Ttulo1"/>
        <w:jc w:val="center"/>
        <w:rPr>
          <w:color w:val="1A365D"/>
        </w:rPr>
      </w:pPr>
      <w:r>
        <w:rPr>
          <w:noProof/>
        </w:rPr>
        <w:drawing>
          <wp:inline distT="0" distB="0" distL="0" distR="0" wp14:anchorId="659E2A8A" wp14:editId="659E2A8B">
            <wp:extent cx="3990975" cy="13614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361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9E29F2" w14:textId="77777777" w:rsidR="00BA68F5" w:rsidRDefault="00A96264">
      <w:pPr>
        <w:pStyle w:val="Ttulo1"/>
        <w:jc w:val="center"/>
        <w:rPr>
          <w:color w:val="1A365D"/>
        </w:rPr>
      </w:pPr>
      <w:r>
        <w:rPr>
          <w:color w:val="1A365D"/>
        </w:rPr>
        <w:t>ASOCIACIÓN MAJORERA POR LA SALUD MENTAL (ASOMASAMEN)</w:t>
      </w:r>
    </w:p>
    <w:p w14:paraId="659E29F3" w14:textId="77777777" w:rsidR="00BA68F5" w:rsidRDefault="00A96264">
      <w:pPr>
        <w:pStyle w:val="normal1"/>
        <w:spacing w:after="375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CIF:</w:t>
      </w:r>
      <w:r>
        <w:rPr>
          <w:sz w:val="20"/>
          <w:szCs w:val="20"/>
        </w:rPr>
        <w:t xml:space="preserve"> G-</w:t>
      </w:r>
      <w:proofErr w:type="gramStart"/>
      <w:r>
        <w:rPr>
          <w:sz w:val="20"/>
          <w:szCs w:val="20"/>
        </w:rPr>
        <w:t>35678168  |</w:t>
      </w:r>
      <w:proofErr w:type="gramEnd"/>
      <w:r>
        <w:rPr>
          <w:sz w:val="20"/>
          <w:szCs w:val="20"/>
        </w:rPr>
        <w:t xml:space="preserve">  </w:t>
      </w:r>
      <w:r>
        <w:rPr>
          <w:b/>
          <w:bCs/>
          <w:sz w:val="20"/>
          <w:szCs w:val="20"/>
        </w:rPr>
        <w:t>Presupuesto General de Ingresos y Gastos – Ejercicio 2023</w:t>
      </w:r>
    </w:p>
    <w:p w14:paraId="659E29F4" w14:textId="77777777" w:rsidR="00BA68F5" w:rsidRDefault="00A96264">
      <w:pPr>
        <w:pStyle w:val="Ttulo2"/>
        <w:spacing w:before="0" w:after="315"/>
        <w:rPr>
          <w:color w:val="2B6CB0"/>
          <w:sz w:val="32"/>
          <w:szCs w:val="32"/>
        </w:rPr>
      </w:pPr>
      <w:r>
        <w:rPr>
          <w:color w:val="2B6CB0"/>
          <w:sz w:val="32"/>
          <w:szCs w:val="32"/>
        </w:rPr>
        <w:t>1. Previsión de Ingresos (Ejercicio 2023)</w:t>
      </w:r>
    </w:p>
    <w:p w14:paraId="659E29F5" w14:textId="77777777" w:rsidR="00BA68F5" w:rsidRDefault="00A96264">
      <w:pPr>
        <w:pStyle w:val="normal1"/>
        <w:spacing w:after="225" w:line="300" w:lineRule="auto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inline distT="0" distB="0" distL="0" distR="0" wp14:anchorId="659E2A8C" wp14:editId="659E2A8D">
                <wp:extent cx="5943600" cy="19050"/>
                <wp:effectExtent l="0" t="0" r="0" b="142875"/>
                <wp:docPr id="2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2.8pt;width:467.9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  <w:r>
        <w:rPr>
          <w:sz w:val="18"/>
          <w:szCs w:val="18"/>
        </w:rPr>
        <w:t>Previsión detallada de los recursos económicos e ingresos proyectados para el sostenimiento de los proyectos y funcionamiento de ASOMASAMEN durante el ejercicio económico 2023:</w:t>
      </w:r>
    </w:p>
    <w:tbl>
      <w:tblPr>
        <w:tblStyle w:val="TableNormal"/>
        <w:tblW w:w="9360" w:type="dxa"/>
        <w:tblInd w:w="0" w:type="dxa"/>
        <w:tblLayout w:type="fixed"/>
        <w:tblCellMar>
          <w:top w:w="150" w:type="dxa"/>
          <w:left w:w="180" w:type="dxa"/>
          <w:bottom w:w="150" w:type="dxa"/>
          <w:right w:w="180" w:type="dxa"/>
        </w:tblCellMar>
        <w:tblLook w:val="0600" w:firstRow="0" w:lastRow="0" w:firstColumn="0" w:lastColumn="0" w:noHBand="1" w:noVBand="1"/>
      </w:tblPr>
      <w:tblGrid>
        <w:gridCol w:w="2340"/>
        <w:gridCol w:w="5148"/>
        <w:gridCol w:w="1872"/>
      </w:tblGrid>
      <w:tr w:rsidR="00BA68F5" w14:paraId="659E29FA" w14:textId="77777777">
        <w:trPr>
          <w:trHeight w:val="615"/>
          <w:tblHeader/>
        </w:trPr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659E29F6" w14:textId="77777777" w:rsidR="00BA68F5" w:rsidRDefault="00A96264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CLASIFICACIÓN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659E29F7" w14:textId="77777777" w:rsidR="00BA68F5" w:rsidRDefault="00A96264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CONCEPTO / ENTIDAD FINANCIADORA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659E29F8" w14:textId="77777777" w:rsidR="00BA68F5" w:rsidRDefault="00A96264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IMPORTE (€)</w:t>
            </w:r>
          </w:p>
          <w:p w14:paraId="659E29F9" w14:textId="77777777" w:rsidR="00BA68F5" w:rsidRDefault="00A96264">
            <w:pPr>
              <w:pStyle w:val="normal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68F5" w14:paraId="659E29FE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659E29FB" w14:textId="77777777" w:rsidR="00BA68F5" w:rsidRDefault="00A96264">
            <w:pPr>
              <w:pStyle w:val="normal1"/>
              <w:spacing w:before="120" w:after="120" w:line="276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9FC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Gobierno de Canarias (Vicepresidencia)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9FD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140.000,00 €</w:t>
            </w:r>
          </w:p>
        </w:tc>
      </w:tr>
      <w:tr w:rsidR="00BA68F5" w14:paraId="659E2A02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659E29FF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00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Cabildo Insular de Fuerteventura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01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120.000,00 €</w:t>
            </w:r>
          </w:p>
        </w:tc>
      </w:tr>
      <w:tr w:rsidR="00BA68F5" w14:paraId="659E2A06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659E2A03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04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Ayuntamiento de Puerto del Rosario (Servicios Sociales)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05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2.393,00 €</w:t>
            </w:r>
          </w:p>
        </w:tc>
      </w:tr>
      <w:tr w:rsidR="00BA68F5" w14:paraId="659E2A0A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659E2A07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08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Ayuntamiento de Puerto del Rosario (Salud Pública)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09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2.324,00 €</w:t>
            </w:r>
          </w:p>
        </w:tc>
      </w:tr>
      <w:tr w:rsidR="00BA68F5" w14:paraId="659E2A0E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659E2A0B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0C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Ayuntamiento de Antigua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0D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9.255,00 €</w:t>
            </w:r>
          </w:p>
        </w:tc>
      </w:tr>
      <w:tr w:rsidR="00BA68F5" w14:paraId="659E2A12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659E2A0F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10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Ayuntamiento de Tuineje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11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20.000,00 €</w:t>
            </w:r>
          </w:p>
        </w:tc>
      </w:tr>
      <w:tr w:rsidR="00BA68F5" w14:paraId="659E2A16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659E2A13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14" w14:textId="77777777" w:rsidR="00BA68F5" w:rsidRDefault="00A96264">
            <w:pPr>
              <w:pStyle w:val="normal1"/>
              <w:spacing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Ayuntamiento de Pájara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15" w14:textId="77777777" w:rsidR="00BA68F5" w:rsidRDefault="00A96264">
            <w:pPr>
              <w:pStyle w:val="normal1"/>
              <w:spacing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2.073,00 €</w:t>
            </w:r>
          </w:p>
        </w:tc>
      </w:tr>
      <w:tr w:rsidR="00BA68F5" w14:paraId="659E2A1A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17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FONDOS PRIVADOS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18" w14:textId="77777777" w:rsidR="00BA68F5" w:rsidRDefault="00A96264">
            <w:pPr>
              <w:pStyle w:val="normal1"/>
              <w:spacing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Subvención Fundación La Caja de Canarias - CaixaBank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19" w14:textId="77777777" w:rsidR="00BA68F5" w:rsidRDefault="00A96264">
            <w:pPr>
              <w:pStyle w:val="normal1"/>
              <w:spacing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4.139,00 €</w:t>
            </w:r>
          </w:p>
        </w:tc>
      </w:tr>
      <w:tr w:rsidR="00BA68F5" w14:paraId="659E2A1E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659E2A1B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PROPIOS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1C" w14:textId="77777777" w:rsidR="00BA68F5" w:rsidRDefault="00A96264">
            <w:pPr>
              <w:pStyle w:val="normal1"/>
              <w:spacing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Cuotas de personas asociadas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1D" w14:textId="77777777" w:rsidR="00BA68F5" w:rsidRDefault="00A96264">
            <w:pPr>
              <w:pStyle w:val="normal1"/>
              <w:spacing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2.800,00 €</w:t>
            </w:r>
          </w:p>
        </w:tc>
      </w:tr>
      <w:tr w:rsidR="00BA68F5" w14:paraId="659E2A22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659E2A1F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PROPIOS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20" w14:textId="77777777" w:rsidR="00BA68F5" w:rsidRDefault="00A96264">
            <w:pPr>
              <w:pStyle w:val="normal1"/>
              <w:spacing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Donaciones privadas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21" w14:textId="77777777" w:rsidR="00BA68F5" w:rsidRDefault="00A96264">
            <w:pPr>
              <w:pStyle w:val="normal1"/>
              <w:spacing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3.000,00 €</w:t>
            </w:r>
          </w:p>
        </w:tc>
      </w:tr>
      <w:tr w:rsidR="00BA68F5" w14:paraId="659E2A26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659E2A23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PROPIOS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24" w14:textId="77777777" w:rsidR="00BA68F5" w:rsidRDefault="00A96264">
            <w:pPr>
              <w:pStyle w:val="normal1"/>
              <w:spacing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Eventos e iniciativas de captación (Gala solidaria, mercadillos, etc.)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25" w14:textId="77777777" w:rsidR="00BA68F5" w:rsidRDefault="00A96264">
            <w:pPr>
              <w:pStyle w:val="normal1"/>
              <w:spacing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7.600,00 €</w:t>
            </w:r>
          </w:p>
        </w:tc>
      </w:tr>
      <w:tr w:rsidR="00BA68F5" w14:paraId="659E2A29" w14:textId="77777777">
        <w:tc>
          <w:tcPr>
            <w:tcW w:w="7488" w:type="dxa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</w:tcPr>
          <w:p w14:paraId="659E2A27" w14:textId="77777777" w:rsidR="00BA68F5" w:rsidRDefault="00A96264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0F172A"/>
                <w:sz w:val="18"/>
                <w:szCs w:val="18"/>
              </w:rPr>
            </w:pPr>
            <w:proofErr w:type="gramStart"/>
            <w:r>
              <w:rPr>
                <w:b/>
                <w:bCs/>
                <w:color w:val="0F172A"/>
                <w:sz w:val="18"/>
                <w:szCs w:val="18"/>
              </w:rPr>
              <w:t>TOTAL</w:t>
            </w:r>
            <w:proofErr w:type="gramEnd"/>
            <w:r>
              <w:rPr>
                <w:b/>
                <w:bCs/>
                <w:color w:val="0F172A"/>
                <w:sz w:val="18"/>
                <w:szCs w:val="18"/>
              </w:rPr>
              <w:t xml:space="preserve"> PREVISIÓN DE INGRESOS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</w:tcPr>
          <w:p w14:paraId="659E2A28" w14:textId="77777777" w:rsidR="00BA68F5" w:rsidRDefault="00A96264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0F172A"/>
                <w:sz w:val="20"/>
                <w:szCs w:val="20"/>
              </w:rPr>
            </w:pPr>
            <w:r>
              <w:rPr>
                <w:b/>
                <w:bCs/>
                <w:color w:val="0F172A"/>
                <w:sz w:val="20"/>
                <w:szCs w:val="20"/>
              </w:rPr>
              <w:t>313.584,00 €</w:t>
            </w:r>
          </w:p>
        </w:tc>
      </w:tr>
    </w:tbl>
    <w:p w14:paraId="659E2A2A" w14:textId="77777777" w:rsidR="00BA68F5" w:rsidRDefault="00A96264">
      <w:pPr>
        <w:pStyle w:val="Ttulo2"/>
        <w:spacing w:before="525" w:after="315"/>
        <w:rPr>
          <w:color w:val="2B6CB0"/>
          <w:sz w:val="32"/>
          <w:szCs w:val="32"/>
        </w:rPr>
      </w:pPr>
      <w:r>
        <w:rPr>
          <w:color w:val="2B6CB0"/>
          <w:sz w:val="32"/>
          <w:szCs w:val="32"/>
        </w:rPr>
        <w:t>2. Previsión de Gastos (Ejercicio 2023)</w:t>
      </w:r>
    </w:p>
    <w:p w14:paraId="659E2A2B" w14:textId="77777777" w:rsidR="00BA68F5" w:rsidRDefault="00A96264">
      <w:pPr>
        <w:pStyle w:val="normal1"/>
        <w:spacing w:after="225" w:line="300" w:lineRule="auto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inline distT="0" distB="0" distL="0" distR="0" wp14:anchorId="659E2A8E" wp14:editId="659E2A8F">
                <wp:extent cx="5943600" cy="19050"/>
                <wp:effectExtent l="0" t="0" r="0" b="142875"/>
                <wp:docPr id="3" name="Forma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2.8pt;width:467.9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  <w:r>
        <w:rPr>
          <w:sz w:val="18"/>
          <w:szCs w:val="18"/>
        </w:rPr>
        <w:t>Estimación presupuestaria de las aplicaciones y gastos necesarios para el desarrollo de los fines sociales y la actividad operativa de la entidad:</w:t>
      </w:r>
    </w:p>
    <w:tbl>
      <w:tblPr>
        <w:tblStyle w:val="TableNormal"/>
        <w:tblW w:w="9360" w:type="dxa"/>
        <w:tblInd w:w="0" w:type="dxa"/>
        <w:tblLayout w:type="fixed"/>
        <w:tblCellMar>
          <w:top w:w="150" w:type="dxa"/>
          <w:left w:w="180" w:type="dxa"/>
          <w:bottom w:w="150" w:type="dxa"/>
          <w:right w:w="180" w:type="dxa"/>
        </w:tblCellMar>
        <w:tblLook w:val="0600" w:firstRow="0" w:lastRow="0" w:firstColumn="0" w:lastColumn="0" w:noHBand="1" w:noVBand="1"/>
      </w:tblPr>
      <w:tblGrid>
        <w:gridCol w:w="2340"/>
        <w:gridCol w:w="5148"/>
        <w:gridCol w:w="1872"/>
      </w:tblGrid>
      <w:tr w:rsidR="00BA68F5" w14:paraId="659E2A30" w14:textId="77777777">
        <w:trPr>
          <w:tblHeader/>
        </w:trPr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659E2A2C" w14:textId="77777777" w:rsidR="00BA68F5" w:rsidRDefault="00A96264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CAPÍTULO / ÁREA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659E2A2D" w14:textId="77777777" w:rsidR="00BA68F5" w:rsidRDefault="00A96264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CONCEPTO DE GASTO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659E2A2E" w14:textId="77777777" w:rsidR="00BA68F5" w:rsidRDefault="00A96264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IMPORTE (€)</w:t>
            </w:r>
          </w:p>
          <w:p w14:paraId="659E2A2F" w14:textId="77777777" w:rsidR="00BA68F5" w:rsidRDefault="00A96264">
            <w:pPr>
              <w:pStyle w:val="normal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A68F5" w14:paraId="659E2A34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31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PERSONAL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32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Gastos Salariales y Seguridad Social del equipo técnico y operativo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33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276.939,00 €</w:t>
            </w:r>
          </w:p>
        </w:tc>
      </w:tr>
      <w:tr w:rsidR="00BA68F5" w14:paraId="659E2A38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35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36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Seguros de vehículos (4 pólizas)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37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1.386,00 €</w:t>
            </w:r>
          </w:p>
        </w:tc>
      </w:tr>
      <w:tr w:rsidR="00BA68F5" w14:paraId="659E2A3C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39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3A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Otros seguros (Responsabilidad Civil, Directivos, Voluntariado, etc.)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3B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1.658,00 €</w:t>
            </w:r>
          </w:p>
        </w:tc>
      </w:tr>
      <w:tr w:rsidR="00BA68F5" w14:paraId="659E2A40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3D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3E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Prevención de Riesgos Laborales (PRL)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3F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448,00 €</w:t>
            </w:r>
          </w:p>
        </w:tc>
      </w:tr>
      <w:tr w:rsidR="00BA68F5" w14:paraId="659E2A44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41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42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Cuota Federación Salud Mental Canarias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43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600,00 €</w:t>
            </w:r>
          </w:p>
        </w:tc>
      </w:tr>
      <w:tr w:rsidR="00BA68F5" w14:paraId="659E2A48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45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46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Acciones formativas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47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950,00 €</w:t>
            </w:r>
          </w:p>
        </w:tc>
      </w:tr>
      <w:tr w:rsidR="00BA68F5" w14:paraId="659E2A4C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49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4A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Alquiler de dependencias e instalaciones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4B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2.053,00 €</w:t>
            </w:r>
          </w:p>
        </w:tc>
      </w:tr>
      <w:tr w:rsidR="00BA68F5" w14:paraId="659E2A50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4D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4E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Gastos corrientes de suministros de sedes (agua y luz)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4F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5.174,00 €</w:t>
            </w:r>
          </w:p>
        </w:tc>
      </w:tr>
      <w:tr w:rsidR="00BA68F5" w14:paraId="659E2A54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51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52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Comunicaciones (telefonía e internet)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53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1.805,00 €</w:t>
            </w:r>
          </w:p>
        </w:tc>
      </w:tr>
      <w:tr w:rsidR="00BA68F5" w14:paraId="659E2A58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55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56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Gastos operativos de vehículos (combustible y mantenimiento)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57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8.400,00 €</w:t>
            </w:r>
          </w:p>
        </w:tc>
      </w:tr>
      <w:tr w:rsidR="00BA68F5" w14:paraId="659E2A5C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59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5A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Material fungible de oficina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5B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2.000,00 €</w:t>
            </w:r>
          </w:p>
        </w:tc>
      </w:tr>
      <w:tr w:rsidR="00BA68F5" w14:paraId="659E2A60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5D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ACTIVIDADES Y PROYECTOS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5E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Gastos de actividades directas vinculadas a proyectos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5F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3.913,00 €</w:t>
            </w:r>
          </w:p>
        </w:tc>
      </w:tr>
      <w:tr w:rsidR="00BA68F5" w14:paraId="659E2A64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61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ACTIVIDADES Y PROYECTOS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62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Gastos de organización de Gala Solidaria y actos asociativos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659E2A63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1.200,00 €</w:t>
            </w:r>
          </w:p>
        </w:tc>
      </w:tr>
      <w:tr w:rsidR="00BA68F5" w14:paraId="659E2A68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65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GESTIÓN Y ADMINISTRACIÓN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66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Auditoría y revisión externa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67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749,00 €</w:t>
            </w:r>
          </w:p>
        </w:tc>
      </w:tr>
      <w:tr w:rsidR="00BA68F5" w14:paraId="659E2A6C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69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GESTIÓN Y ADMINISTRACIÓN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6A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Asesoría externa (gestoría fiscal y laboral)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6B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3.692,00 €</w:t>
            </w:r>
          </w:p>
        </w:tc>
      </w:tr>
      <w:tr w:rsidR="00BA68F5" w14:paraId="659E2A70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6D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GESTIÓN Y ADMINISTRACIÓN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6E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Retenciones tributarias de arrendamientos (Modelos 115)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6F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1.117,00 €</w:t>
            </w:r>
          </w:p>
        </w:tc>
      </w:tr>
      <w:tr w:rsidR="00BA68F5" w14:paraId="659E2A74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71" w14:textId="77777777" w:rsidR="00BA68F5" w:rsidRDefault="00A96264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GESTIÓN Y ADMINISTRACIÓN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72" w14:textId="77777777" w:rsidR="00BA68F5" w:rsidRDefault="00A96264">
            <w:pPr>
              <w:pStyle w:val="normal1"/>
              <w:spacing w:before="120" w:after="12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Impuestos, tasas y servicios bancarios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659E2A73" w14:textId="77777777" w:rsidR="00BA68F5" w:rsidRDefault="00A96264">
            <w:pPr>
              <w:pStyle w:val="normal1"/>
              <w:spacing w:before="120" w:after="120" w:line="27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1.500,00 €</w:t>
            </w:r>
          </w:p>
        </w:tc>
      </w:tr>
      <w:tr w:rsidR="00BA68F5" w14:paraId="659E2A77" w14:textId="77777777">
        <w:tc>
          <w:tcPr>
            <w:tcW w:w="7488" w:type="dxa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</w:tcPr>
          <w:p w14:paraId="659E2A75" w14:textId="77777777" w:rsidR="00BA68F5" w:rsidRDefault="00A96264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0F172A"/>
                <w:sz w:val="18"/>
                <w:szCs w:val="18"/>
              </w:rPr>
            </w:pPr>
            <w:proofErr w:type="gramStart"/>
            <w:r>
              <w:rPr>
                <w:b/>
                <w:bCs/>
                <w:color w:val="0F172A"/>
                <w:sz w:val="18"/>
                <w:szCs w:val="18"/>
              </w:rPr>
              <w:t>TOTAL</w:t>
            </w:r>
            <w:proofErr w:type="gramEnd"/>
            <w:r>
              <w:rPr>
                <w:b/>
                <w:bCs/>
                <w:color w:val="0F172A"/>
                <w:sz w:val="18"/>
                <w:szCs w:val="18"/>
              </w:rPr>
              <w:t xml:space="preserve"> PREVISIÓN DE GASTOS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</w:tcPr>
          <w:p w14:paraId="659E2A76" w14:textId="77777777" w:rsidR="00BA68F5" w:rsidRDefault="00A96264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0F172A"/>
                <w:sz w:val="20"/>
                <w:szCs w:val="20"/>
              </w:rPr>
            </w:pPr>
            <w:r>
              <w:rPr>
                <w:b/>
                <w:bCs/>
                <w:color w:val="0F172A"/>
                <w:sz w:val="20"/>
                <w:szCs w:val="20"/>
              </w:rPr>
              <w:t>313.584,00 €</w:t>
            </w:r>
          </w:p>
        </w:tc>
      </w:tr>
    </w:tbl>
    <w:p w14:paraId="659E2A78" w14:textId="77777777" w:rsidR="00BA68F5" w:rsidRDefault="00BA68F5">
      <w:pPr>
        <w:pStyle w:val="Ttulo2"/>
        <w:spacing w:before="525" w:after="315"/>
        <w:rPr>
          <w:color w:val="2B6CB0"/>
          <w:sz w:val="32"/>
          <w:szCs w:val="32"/>
        </w:rPr>
      </w:pPr>
    </w:p>
    <w:p w14:paraId="659E2A79" w14:textId="77777777" w:rsidR="00BA68F5" w:rsidRDefault="00A96264">
      <w:pPr>
        <w:pStyle w:val="Ttulo2"/>
        <w:spacing w:before="525" w:after="315"/>
        <w:rPr>
          <w:color w:val="2B6CB0"/>
          <w:sz w:val="32"/>
          <w:szCs w:val="32"/>
        </w:rPr>
      </w:pPr>
      <w:r>
        <w:rPr>
          <w:color w:val="2B6CB0"/>
          <w:sz w:val="32"/>
          <w:szCs w:val="32"/>
        </w:rPr>
        <w:lastRenderedPageBreak/>
        <w:t>3. Diligencia de Aprobación Oficial</w:t>
      </w:r>
    </w:p>
    <w:p w14:paraId="659E2A7A" w14:textId="77777777" w:rsidR="00BA68F5" w:rsidRDefault="00A96264">
      <w:pPr>
        <w:pStyle w:val="normal1"/>
        <w:spacing w:after="375" w:line="300" w:lineRule="auto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inline distT="0" distB="0" distL="0" distR="0" wp14:anchorId="659E2A90" wp14:editId="659E2A91">
                <wp:extent cx="5943600" cy="19050"/>
                <wp:effectExtent l="0" t="0" r="0" b="238125"/>
                <wp:docPr id="4" name="Forma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20.3pt;width:467.9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  <w:r>
        <w:rPr>
          <w:sz w:val="18"/>
          <w:szCs w:val="18"/>
        </w:rPr>
        <w:t>El presente Presupuesto General de Ingresos y Gastos para el ejercicio 2023 fue presentado y formalmente aprobado en sesión de la Asamblea General de personas socias de la Asociación Majorera por la Salud Mental (ASOMASAMEN).</w:t>
      </w:r>
    </w:p>
    <w:p w14:paraId="659E2A7B" w14:textId="77777777" w:rsidR="00BA68F5" w:rsidRDefault="00A96264">
      <w:pPr>
        <w:pStyle w:val="normal1"/>
        <w:spacing w:after="525" w:line="300" w:lineRule="auto"/>
        <w:rPr>
          <w:sz w:val="18"/>
          <w:szCs w:val="18"/>
        </w:rPr>
      </w:pPr>
      <w:r>
        <w:rPr>
          <w:sz w:val="18"/>
          <w:szCs w:val="18"/>
        </w:rPr>
        <w:t>En Puerto del Rosario, a 8 de marzo de 2023.</w:t>
      </w:r>
    </w:p>
    <w:p w14:paraId="659E2A89" w14:textId="77777777" w:rsidR="00BA68F5" w:rsidRDefault="00BA68F5">
      <w:pPr>
        <w:pStyle w:val="normal1"/>
        <w:spacing w:line="276" w:lineRule="auto"/>
        <w:rPr>
          <w:color w:val="64748B"/>
          <w:sz w:val="18"/>
          <w:szCs w:val="18"/>
        </w:rPr>
      </w:pPr>
    </w:p>
    <w:sectPr w:rsidR="00BA68F5">
      <w:pgSz w:w="12240" w:h="15840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embedRegular r:id="rId1" w:fontKey="{113DEF6E-5EEC-4B90-947C-C3F25B7FF7BF}"/>
  </w:font>
  <w:font w:name="Microsoft YaHei">
    <w:panose1 w:val="020B0503020204020204"/>
    <w:charset w:val="00"/>
    <w:family w:val="roman"/>
    <w:notTrueType/>
    <w:pitch w:val="default"/>
    <w:embedRegular r:id="rId2" w:fontKey="{1912C723-DFD9-43B4-B815-3DEA9DA1450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ECCBEE3-808D-421E-B7B7-D1494070EB5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EEF7B17-4FE7-4DA8-A8C2-F541FE8F83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685D37A-5893-46D2-BBC0-C41412B6223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8F5"/>
    <w:rsid w:val="000948E4"/>
    <w:rsid w:val="00651694"/>
    <w:rsid w:val="00A96264"/>
    <w:rsid w:val="00BA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E29F1"/>
  <w15:docId w15:val="{AB0C7144-1C4B-4F97-8699-E5DDB372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tulo1">
    <w:name w:val="heading 1"/>
    <w:basedOn w:val="normal1"/>
    <w:next w:val="normal1"/>
    <w:uiPriority w:val="9"/>
    <w:qFormat/>
    <w:pP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uiPriority w:val="9"/>
    <w:unhideWhenUsed/>
    <w:qFormat/>
    <w:pP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1"/>
    <w:next w:val="Textoindependient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normal1">
    <w:name w:val="normal1"/>
    <w:qFormat/>
    <w:pPr>
      <w:widowControl w:val="0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511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Jose Luis  Antolín</cp:lastModifiedBy>
  <cp:revision>2</cp:revision>
  <dcterms:created xsi:type="dcterms:W3CDTF">2026-10-13T14:42:00Z</dcterms:created>
  <dcterms:modified xsi:type="dcterms:W3CDTF">2026-10-13T14:43:00Z</dcterms:modified>
  <dc:language>es-ES</dc:language>
</cp:coreProperties>
</file>