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02422" w14:textId="77777777" w:rsidR="006F6E4D" w:rsidRDefault="000C6A66">
      <w:pPr>
        <w:pStyle w:val="Ttulo1"/>
        <w:jc w:val="center"/>
        <w:rPr>
          <w:color w:val="1A365D"/>
          <w:sz w:val="50"/>
          <w:szCs w:val="50"/>
        </w:rPr>
      </w:pPr>
      <w:r>
        <w:rPr>
          <w:noProof/>
        </w:rPr>
        <w:drawing>
          <wp:inline distT="0" distB="0" distL="0" distR="0" wp14:anchorId="12402492" wp14:editId="12402493">
            <wp:extent cx="4347845" cy="11874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4347845" cy="1187450"/>
                    </a:xfrm>
                    <a:prstGeom prst="rect">
                      <a:avLst/>
                    </a:prstGeom>
                    <a:noFill/>
                  </pic:spPr>
                </pic:pic>
              </a:graphicData>
            </a:graphic>
          </wp:inline>
        </w:drawing>
      </w:r>
    </w:p>
    <w:p w14:paraId="12402423" w14:textId="77777777" w:rsidR="006F6E4D" w:rsidRDefault="000C6A66">
      <w:pPr>
        <w:pStyle w:val="Ttulo1"/>
        <w:jc w:val="center"/>
        <w:rPr>
          <w:color w:val="1A365D"/>
          <w:sz w:val="50"/>
          <w:szCs w:val="50"/>
        </w:rPr>
      </w:pPr>
      <w:r>
        <w:rPr>
          <w:color w:val="1A365D"/>
          <w:sz w:val="50"/>
          <w:szCs w:val="50"/>
        </w:rPr>
        <w:t>ASOCIACIÓN MAJORERA POR LA SALUD MENTAL (ASOMASAMEN)</w:t>
      </w:r>
    </w:p>
    <w:p w14:paraId="12402424" w14:textId="77777777" w:rsidR="006F6E4D" w:rsidRDefault="000C6A66">
      <w:pPr>
        <w:pStyle w:val="normal1"/>
        <w:spacing w:after="375"/>
        <w:jc w:val="center"/>
        <w:rPr>
          <w:b/>
          <w:bCs/>
        </w:rPr>
      </w:pPr>
      <w:r>
        <w:rPr>
          <w:b/>
          <w:bCs/>
        </w:rPr>
        <w:t>CIF:</w:t>
      </w:r>
      <w:r>
        <w:t xml:space="preserve"> G-35678168  |  </w:t>
      </w:r>
      <w:r>
        <w:rPr>
          <w:b/>
          <w:bCs/>
        </w:rPr>
        <w:t>Portal de Transparencia – Bloque 4: Información Económico-Financiera</w:t>
      </w:r>
    </w:p>
    <w:p w14:paraId="12402425" w14:textId="77777777" w:rsidR="006F6E4D" w:rsidRDefault="000C6A66">
      <w:pPr>
        <w:pStyle w:val="Ttulo2"/>
        <w:spacing w:before="0" w:after="315"/>
        <w:rPr>
          <w:color w:val="2B6CB0"/>
          <w:sz w:val="38"/>
          <w:szCs w:val="38"/>
        </w:rPr>
      </w:pPr>
      <w:r>
        <w:rPr>
          <w:color w:val="2B6CB0"/>
          <w:sz w:val="38"/>
          <w:szCs w:val="38"/>
        </w:rPr>
        <w:t>MEMORIA ECONÓMICA ABREVIADA – EJERCICIO 2025</w:t>
      </w:r>
    </w:p>
    <w:p w14:paraId="12402426" w14:textId="77777777" w:rsidR="006F6E4D" w:rsidRDefault="000C6A66">
      <w:pPr>
        <w:pStyle w:val="normal1"/>
        <w:spacing w:after="300" w:line="300" w:lineRule="auto"/>
        <w:rPr>
          <w:i/>
          <w:iCs/>
          <w:color w:val="475569"/>
          <w:sz w:val="20"/>
          <w:szCs w:val="20"/>
        </w:rPr>
      </w:pPr>
      <w:r>
        <w:rPr>
          <w:noProof/>
        </w:rPr>
        <mc:AlternateContent>
          <mc:Choice Requires="wps">
            <w:drawing>
              <wp:inline distT="0" distB="0" distL="0" distR="0" wp14:anchorId="12402494" wp14:editId="12402495">
                <wp:extent cx="5943600" cy="19050"/>
                <wp:effectExtent l="0" t="0" r="0" b="190500"/>
                <wp:docPr id="2" name="Forma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pic="http://schemas.openxmlformats.org/drawingml/2006/picture">
            <w:pict>
              <v:rect id="shape_0" fillcolor="#a0a0a0" stroked="f" o:allowincell="f" style="position:absolute;margin-left:0pt;margin-top:-16.55pt;width:467.95pt;height:1.45pt;mso-wrap-style:none;v-text-anchor:middle;mso-position-vertical:top">
                <v:fill o:detectmouseclick="t" type="solid" color2="#5f5f5f"/>
                <v:stroke color="#3465a4" joinstyle="round" endcap="flat"/>
                <w10:wrap type="square"/>
              </v:rect>
            </w:pict>
          </mc:Fallback>
        </mc:AlternateContent>
      </w:r>
      <w:r>
        <w:rPr>
          <w:i/>
          <w:iCs/>
          <w:color w:val="475569"/>
          <w:sz w:val="20"/>
          <w:szCs w:val="20"/>
        </w:rPr>
        <w:t>Formulada conforme al Plan General de Contabilidad adaptado a Entidades sin Fines Lucrativos (Real Decreto 1491/2011, de 24 de octubre) y a la Ley 12/2014, de 26 de diciembre, de transparencia y de acceso a la información pública de Canarias.</w:t>
      </w:r>
    </w:p>
    <w:p w14:paraId="12402427" w14:textId="77777777" w:rsidR="006F6E4D" w:rsidRDefault="000C6A66">
      <w:pPr>
        <w:pStyle w:val="Ttulo3"/>
        <w:spacing w:before="0"/>
        <w:rPr>
          <w:color w:val="1E293B"/>
          <w:sz w:val="30"/>
          <w:szCs w:val="30"/>
        </w:rPr>
      </w:pPr>
      <w:r>
        <w:rPr>
          <w:color w:val="1E293B"/>
          <w:sz w:val="30"/>
          <w:szCs w:val="30"/>
        </w:rPr>
        <w:t>1. Actividad de la Entidad y Fines Sociales</w:t>
      </w:r>
    </w:p>
    <w:p w14:paraId="12402428" w14:textId="77777777" w:rsidR="006F6E4D" w:rsidRDefault="000C6A66">
      <w:pPr>
        <w:pStyle w:val="normal1"/>
        <w:spacing w:line="300" w:lineRule="auto"/>
        <w:jc w:val="both"/>
        <w:rPr>
          <w:sz w:val="20"/>
          <w:szCs w:val="20"/>
        </w:rPr>
      </w:pPr>
      <w:r>
        <w:rPr>
          <w:sz w:val="20"/>
          <w:szCs w:val="20"/>
        </w:rPr>
        <w:t xml:space="preserve">La </w:t>
      </w:r>
      <w:r>
        <w:rPr>
          <w:b/>
          <w:bCs/>
          <w:sz w:val="20"/>
          <w:szCs w:val="20"/>
        </w:rPr>
        <w:t>Asociación Majorera por la Salud Mental (ASOMASAMEN)</w:t>
      </w:r>
      <w:r>
        <w:rPr>
          <w:sz w:val="20"/>
          <w:szCs w:val="20"/>
        </w:rPr>
        <w:t xml:space="preserve">, con CIF </w:t>
      </w:r>
      <w:r>
        <w:rPr>
          <w:b/>
          <w:bCs/>
          <w:sz w:val="20"/>
          <w:szCs w:val="20"/>
        </w:rPr>
        <w:t>G-35678168</w:t>
      </w:r>
      <w:r>
        <w:rPr>
          <w:sz w:val="20"/>
          <w:szCs w:val="20"/>
        </w:rPr>
        <w:t xml:space="preserve">, es una entidad privada sin ánimo de lucro constituida formalmente en mayo de 2001 en la isla de Fuerteventura. Se encuentra debidamente inscrita en el Registro de Asociaciones de Canarias con el número </w:t>
      </w:r>
      <w:r>
        <w:rPr>
          <w:b/>
          <w:bCs/>
          <w:sz w:val="20"/>
          <w:szCs w:val="20"/>
        </w:rPr>
        <w:t>G1/S1/13001-01/F</w:t>
      </w:r>
      <w:r>
        <w:rPr>
          <w:sz w:val="20"/>
          <w:szCs w:val="20"/>
        </w:rPr>
        <w:t xml:space="preserve"> y acreditada como Entidad Colaboradora en la prestación de Servicios Sociales del Gobierno de Canarias con el n.º </w:t>
      </w:r>
      <w:r>
        <w:rPr>
          <w:b/>
          <w:bCs/>
          <w:sz w:val="20"/>
          <w:szCs w:val="20"/>
        </w:rPr>
        <w:t>LP F 03 1088</w:t>
      </w:r>
      <w:r>
        <w:rPr>
          <w:sz w:val="20"/>
          <w:szCs w:val="20"/>
        </w:rPr>
        <w:t>. Asimismo, fue declarada Entidad de Interés Público Insular por el Excmo. Cabildo Insular de Fuerteventura (Expte. n.º 2019/000377506) y distinguida con la Medalla de Oro de Canarias en 2024 por el Gobierno de Canarias.</w:t>
      </w:r>
    </w:p>
    <w:p w14:paraId="12402429" w14:textId="77777777" w:rsidR="006F6E4D" w:rsidRDefault="000C6A66">
      <w:pPr>
        <w:pStyle w:val="normal1"/>
        <w:spacing w:line="300" w:lineRule="auto"/>
        <w:jc w:val="both"/>
        <w:rPr>
          <w:sz w:val="20"/>
          <w:szCs w:val="20"/>
        </w:rPr>
      </w:pPr>
      <w:r>
        <w:rPr>
          <w:sz w:val="20"/>
          <w:szCs w:val="20"/>
        </w:rPr>
        <w:t>Durante el ejercicio 2025, ASOMASAMEN ha desplegado sus programas asistenciales, de inclusión psicosocial y comunitarios en toda la geografía insular, estructurados en torno a los siguientes ejes operativos:</w:t>
      </w:r>
    </w:p>
    <w:p w14:paraId="1240242A" w14:textId="77777777" w:rsidR="006F6E4D" w:rsidRDefault="000C6A66">
      <w:pPr>
        <w:pStyle w:val="normal1"/>
        <w:numPr>
          <w:ilvl w:val="0"/>
          <w:numId w:val="1"/>
        </w:numPr>
        <w:spacing w:line="300" w:lineRule="auto"/>
        <w:rPr>
          <w:sz w:val="24"/>
          <w:szCs w:val="24"/>
        </w:rPr>
      </w:pPr>
      <w:r>
        <w:rPr>
          <w:b/>
          <w:bCs/>
          <w:sz w:val="20"/>
          <w:szCs w:val="20"/>
        </w:rPr>
        <w:t>Atención Directa e Inclusión Social:</w:t>
      </w:r>
      <w:r>
        <w:rPr>
          <w:sz w:val="20"/>
          <w:szCs w:val="20"/>
        </w:rPr>
        <w:t xml:space="preserve"> Servicio de Información y Acogida «Un Espacio para la Escucha» (125 personas atendidas), Proyecto de Ocio y Tiempo Libre «Conectando con la Vida» (28 personas en zonas norte y sur), Taller Ocupacional de Horticultura Terapéutica «Sembrando Semillas, Recogiendo Ilusiones» </w:t>
      </w:r>
      <w:r>
        <w:rPr>
          <w:sz w:val="20"/>
          <w:szCs w:val="20"/>
        </w:rPr>
        <w:t>en Casillas del Angel</w:t>
      </w:r>
      <w:r>
        <w:rPr>
          <w:sz w:val="20"/>
          <w:szCs w:val="20"/>
        </w:rPr>
        <w:t xml:space="preserve"> (18 personas), Acompañamiento Domiciliario e Individualizado «Metamorfosis» (11 personas atendidas), Proyecto de Deporte Adaptado «ACTIVA-T» (18 personas) y Rutas de Senderismo «Creando Veredas».</w:t>
      </w:r>
    </w:p>
    <w:p w14:paraId="1240242B" w14:textId="77777777" w:rsidR="006F6E4D" w:rsidRDefault="000C6A66">
      <w:pPr>
        <w:pStyle w:val="normal1"/>
        <w:numPr>
          <w:ilvl w:val="0"/>
          <w:numId w:val="1"/>
        </w:numPr>
        <w:spacing w:line="300" w:lineRule="auto"/>
        <w:rPr>
          <w:sz w:val="24"/>
          <w:szCs w:val="24"/>
        </w:rPr>
      </w:pPr>
      <w:r>
        <w:rPr>
          <w:b/>
          <w:bCs/>
          <w:sz w:val="20"/>
          <w:szCs w:val="20"/>
        </w:rPr>
        <w:t>Prevención y Educación en Salud Mental:</w:t>
      </w:r>
      <w:r>
        <w:rPr>
          <w:sz w:val="20"/>
          <w:szCs w:val="20"/>
        </w:rPr>
        <w:t xml:space="preserve"> Proyecto «EDUSAMEN: Educando en Salud </w:t>
      </w:r>
      <w:r>
        <w:rPr>
          <w:sz w:val="20"/>
          <w:szCs w:val="20"/>
        </w:rPr>
        <w:lastRenderedPageBreak/>
        <w:t>Mental», con intervenciones pedagógicas y psicoeducativas directas a 3.321 alumnos/as y 386 talleres impartidos en 31 centros educativos de la isla; e Intervención Familiar grupal «COMPARTIR(NOS)» con 17 familias participantes.</w:t>
      </w:r>
    </w:p>
    <w:p w14:paraId="1240242C" w14:textId="77777777" w:rsidR="006F6E4D" w:rsidRDefault="000C6A66">
      <w:pPr>
        <w:pStyle w:val="normal1"/>
        <w:numPr>
          <w:ilvl w:val="0"/>
          <w:numId w:val="1"/>
        </w:numPr>
        <w:spacing w:line="300" w:lineRule="auto"/>
        <w:rPr>
          <w:sz w:val="24"/>
          <w:szCs w:val="24"/>
        </w:rPr>
      </w:pPr>
      <w:r>
        <w:rPr>
          <w:b/>
          <w:bCs/>
          <w:sz w:val="20"/>
          <w:szCs w:val="20"/>
        </w:rPr>
        <w:t>Sensibilización Comunitaria:</w:t>
      </w:r>
      <w:r>
        <w:rPr>
          <w:sz w:val="20"/>
          <w:szCs w:val="20"/>
        </w:rPr>
        <w:t xml:space="preserve"> Emisión semanal del programa de radio «Lo Bello que es Vivir» en Radio Sintonía y acciones de reciclaje solidario y concienciación ambiental «Tapones Solidarios».</w:t>
      </w:r>
    </w:p>
    <w:p w14:paraId="1240242D" w14:textId="77777777" w:rsidR="006F6E4D" w:rsidRDefault="000C6A66">
      <w:pPr>
        <w:pStyle w:val="Ttulo3"/>
        <w:spacing w:before="375"/>
        <w:rPr>
          <w:color w:val="1E293B"/>
          <w:sz w:val="30"/>
          <w:szCs w:val="30"/>
        </w:rPr>
      </w:pPr>
      <w:r>
        <w:rPr>
          <w:color w:val="1E293B"/>
          <w:sz w:val="30"/>
          <w:szCs w:val="30"/>
        </w:rPr>
        <w:t>2. Bases de Presentación de las Cuentas Anuales</w:t>
      </w:r>
    </w:p>
    <w:p w14:paraId="1240242E" w14:textId="77777777" w:rsidR="006F6E4D" w:rsidRDefault="000C6A66">
      <w:pPr>
        <w:pStyle w:val="normal1"/>
        <w:spacing w:line="300" w:lineRule="auto"/>
        <w:jc w:val="both"/>
        <w:rPr>
          <w:sz w:val="20"/>
          <w:szCs w:val="20"/>
        </w:rPr>
      </w:pPr>
      <w:r>
        <w:rPr>
          <w:sz w:val="20"/>
          <w:szCs w:val="20"/>
        </w:rPr>
        <w:t>Las Cuentas Anuales correspondientes al ejercicio cerrado a 31 de diciembre de 2025 (Balance de Situación, Cuenta de Pérdidas y Ganancias y la presente Memoria Económica Abreviada) han sido formuladas por la Junta Directiva a partir de los libros y registros contables de la entidad, con el objetivo de mostrar la imagen fiel del patrimonio, de la situación financiera y del excedente de la Asociación.</w:t>
      </w:r>
    </w:p>
    <w:p w14:paraId="1240242F" w14:textId="77777777" w:rsidR="006F6E4D" w:rsidRDefault="000C6A66">
      <w:pPr>
        <w:pStyle w:val="normal1"/>
        <w:spacing w:after="375" w:line="300" w:lineRule="auto"/>
        <w:jc w:val="both"/>
        <w:rPr>
          <w:sz w:val="20"/>
          <w:szCs w:val="20"/>
        </w:rPr>
      </w:pPr>
      <w:r>
        <w:rPr>
          <w:sz w:val="20"/>
          <w:szCs w:val="20"/>
        </w:rPr>
        <w:t xml:space="preserve">Se han aplicado de forma estricta los principios contables contemplados en el Plan General de Contabilidad adaptado a las Entidades sin Fines Lucrativos (RD 1491/2011), en particular los principios de </w:t>
      </w:r>
      <w:r>
        <w:rPr>
          <w:i/>
          <w:iCs/>
          <w:sz w:val="20"/>
          <w:szCs w:val="20"/>
        </w:rPr>
        <w:t>empresa en funcionamiento</w:t>
      </w:r>
      <w:r>
        <w:rPr>
          <w:sz w:val="20"/>
          <w:szCs w:val="20"/>
        </w:rPr>
        <w:t xml:space="preserve">, </w:t>
      </w:r>
      <w:r>
        <w:rPr>
          <w:i/>
          <w:iCs/>
          <w:sz w:val="20"/>
          <w:szCs w:val="20"/>
        </w:rPr>
        <w:t>devengo</w:t>
      </w:r>
      <w:r>
        <w:rPr>
          <w:sz w:val="20"/>
          <w:szCs w:val="20"/>
        </w:rPr>
        <w:t xml:space="preserve">, </w:t>
      </w:r>
      <w:r>
        <w:rPr>
          <w:i/>
          <w:iCs/>
          <w:sz w:val="20"/>
          <w:szCs w:val="20"/>
        </w:rPr>
        <w:t>uniformidad</w:t>
      </w:r>
      <w:r>
        <w:rPr>
          <w:sz w:val="20"/>
          <w:szCs w:val="20"/>
        </w:rPr>
        <w:t xml:space="preserve">, </w:t>
      </w:r>
      <w:r>
        <w:rPr>
          <w:i/>
          <w:iCs/>
          <w:sz w:val="20"/>
          <w:szCs w:val="20"/>
        </w:rPr>
        <w:t>prudencia</w:t>
      </w:r>
      <w:r>
        <w:rPr>
          <w:sz w:val="20"/>
          <w:szCs w:val="20"/>
        </w:rPr>
        <w:t xml:space="preserve"> y </w:t>
      </w:r>
      <w:r>
        <w:rPr>
          <w:i/>
          <w:iCs/>
          <w:sz w:val="20"/>
          <w:szCs w:val="20"/>
        </w:rPr>
        <w:t>no compensación</w:t>
      </w:r>
      <w:r>
        <w:rPr>
          <w:sz w:val="20"/>
          <w:szCs w:val="20"/>
        </w:rPr>
        <w:t>.</w:t>
      </w:r>
    </w:p>
    <w:p w14:paraId="12402430" w14:textId="77777777" w:rsidR="006F6E4D" w:rsidRDefault="000C6A66">
      <w:pPr>
        <w:pStyle w:val="Ttulo3"/>
        <w:spacing w:before="0"/>
        <w:rPr>
          <w:color w:val="1E293B"/>
          <w:sz w:val="30"/>
          <w:szCs w:val="30"/>
        </w:rPr>
      </w:pPr>
      <w:r>
        <w:rPr>
          <w:color w:val="1E293B"/>
          <w:sz w:val="30"/>
          <w:szCs w:val="30"/>
        </w:rPr>
        <w:t>3. Normas de Registro y Valoración</w:t>
      </w:r>
    </w:p>
    <w:p w14:paraId="12402431" w14:textId="77777777" w:rsidR="006F6E4D" w:rsidRDefault="000C6A66">
      <w:pPr>
        <w:pStyle w:val="normal1"/>
        <w:numPr>
          <w:ilvl w:val="0"/>
          <w:numId w:val="2"/>
        </w:numPr>
        <w:spacing w:line="300" w:lineRule="auto"/>
        <w:jc w:val="both"/>
        <w:rPr>
          <w:sz w:val="24"/>
          <w:szCs w:val="24"/>
        </w:rPr>
      </w:pPr>
      <w:r>
        <w:rPr>
          <w:b/>
          <w:bCs/>
          <w:sz w:val="20"/>
          <w:szCs w:val="20"/>
        </w:rPr>
        <w:t>Inmovilizado Material:</w:t>
      </w:r>
      <w:r>
        <w:rPr>
          <w:sz w:val="20"/>
          <w:szCs w:val="20"/>
        </w:rPr>
        <w:t xml:space="preserve"> Los bienes adquiridos para el desarrollo de la actividad (elementos de transporte adaptados, equipos informáticos, mobiliario e instalaciones) se valoran al precio de adquisición. Las amortizaciones se practican de forma lineal según su vida útil estimada. El inmovilizado material neto al cierre de 2025 se sitúa en 27.703,55 €.</w:t>
      </w:r>
    </w:p>
    <w:p w14:paraId="12402432" w14:textId="77777777" w:rsidR="006F6E4D" w:rsidRDefault="000C6A66">
      <w:pPr>
        <w:pStyle w:val="normal1"/>
        <w:numPr>
          <w:ilvl w:val="0"/>
          <w:numId w:val="2"/>
        </w:numPr>
        <w:spacing w:line="300" w:lineRule="auto"/>
        <w:jc w:val="both"/>
        <w:rPr>
          <w:sz w:val="24"/>
          <w:szCs w:val="24"/>
        </w:rPr>
      </w:pPr>
      <w:r>
        <w:rPr>
          <w:b/>
          <w:bCs/>
          <w:sz w:val="20"/>
          <w:szCs w:val="20"/>
        </w:rPr>
        <w:t>Subvenciones, Donaciones y Legados de Explotación:</w:t>
      </w:r>
      <w:r>
        <w:rPr>
          <w:sz w:val="20"/>
          <w:szCs w:val="20"/>
        </w:rPr>
        <w:t xml:space="preserve"> Las subvenciones de carácter finalista destinadas a financiar gastos específicos de funcionamiento y proyectos se imputan como ingresos a la Cuenta de Pérdidas y Ganancias (partida 1.d) en correlación con el devengo de los gastos que financian.</w:t>
      </w:r>
    </w:p>
    <w:p w14:paraId="12402433" w14:textId="77777777" w:rsidR="006F6E4D" w:rsidRDefault="000C6A66">
      <w:pPr>
        <w:pStyle w:val="normal1"/>
        <w:numPr>
          <w:ilvl w:val="0"/>
          <w:numId w:val="2"/>
        </w:numPr>
        <w:spacing w:line="300" w:lineRule="auto"/>
        <w:jc w:val="both"/>
        <w:rPr>
          <w:sz w:val="24"/>
          <w:szCs w:val="24"/>
        </w:rPr>
      </w:pPr>
      <w:r>
        <w:rPr>
          <w:b/>
          <w:bCs/>
          <w:sz w:val="20"/>
          <w:szCs w:val="20"/>
        </w:rPr>
        <w:t>Subvenciones de Capital:</w:t>
      </w:r>
      <w:r>
        <w:rPr>
          <w:sz w:val="20"/>
          <w:szCs w:val="20"/>
        </w:rPr>
        <w:t xml:space="preserve"> Las ayudas recibidas para adquisición de activos inmovilizados figuran en el Patrimonio Neto (epígrafe A-3 por 138.328,88 €) y se traspasan al excedente del ejercicio de forma proporcional a la amortización de los bienes financiados (imputación de 2.608,17 € en 2025).</w:t>
      </w:r>
    </w:p>
    <w:p w14:paraId="12402434" w14:textId="77777777" w:rsidR="006F6E4D" w:rsidRDefault="000C6A66">
      <w:pPr>
        <w:pStyle w:val="normal1"/>
        <w:numPr>
          <w:ilvl w:val="0"/>
          <w:numId w:val="2"/>
        </w:numPr>
        <w:spacing w:line="300" w:lineRule="auto"/>
        <w:jc w:val="both"/>
        <w:rPr>
          <w:sz w:val="24"/>
          <w:szCs w:val="24"/>
        </w:rPr>
      </w:pPr>
      <w:r>
        <w:rPr>
          <w:b/>
          <w:bCs/>
          <w:sz w:val="20"/>
          <w:szCs w:val="20"/>
        </w:rPr>
        <w:t>Gastos de Personal:</w:t>
      </w:r>
      <w:r>
        <w:rPr>
          <w:sz w:val="20"/>
          <w:szCs w:val="20"/>
        </w:rPr>
        <w:t xml:space="preserve"> Se contabilizan por el principio de devengo con arreglo a las categorías y retribuciones reguladas en el </w:t>
      </w:r>
      <w:r>
        <w:rPr>
          <w:i/>
          <w:iCs/>
          <w:sz w:val="20"/>
          <w:szCs w:val="20"/>
        </w:rPr>
        <w:t>XVI Convenio colectivo general de centros y servicios de atención a personas con discapacidad</w:t>
      </w:r>
      <w:r>
        <w:rPr>
          <w:sz w:val="20"/>
          <w:szCs w:val="20"/>
        </w:rPr>
        <w:t>.</w:t>
      </w:r>
    </w:p>
    <w:p w14:paraId="12402435" w14:textId="77777777" w:rsidR="006F6E4D" w:rsidRDefault="000C6A66">
      <w:pPr>
        <w:pStyle w:val="Ttulo3"/>
        <w:spacing w:before="375"/>
        <w:rPr>
          <w:color w:val="1E293B"/>
          <w:sz w:val="30"/>
          <w:szCs w:val="30"/>
        </w:rPr>
      </w:pPr>
      <w:r>
        <w:rPr>
          <w:color w:val="1E293B"/>
          <w:sz w:val="30"/>
          <w:szCs w:val="30"/>
        </w:rPr>
        <w:t>4. Excedente del Ejercicio: Análisis de Ingresos y Gastos</w:t>
      </w:r>
    </w:p>
    <w:p w14:paraId="12402436" w14:textId="77777777" w:rsidR="006F6E4D" w:rsidRDefault="000C6A66">
      <w:pPr>
        <w:pStyle w:val="normal1"/>
        <w:spacing w:line="300" w:lineRule="auto"/>
        <w:jc w:val="both"/>
        <w:rPr>
          <w:sz w:val="20"/>
          <w:szCs w:val="20"/>
        </w:rPr>
      </w:pPr>
      <w:r>
        <w:rPr>
          <w:sz w:val="20"/>
          <w:szCs w:val="20"/>
        </w:rPr>
        <w:t>A continuación se detalla la composición íntegra y oficial de la Cuenta de Pérdidas y Ganancias del ejercicio 2025:</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6084"/>
        <w:gridCol w:w="3276"/>
      </w:tblGrid>
      <w:tr w:rsidR="006F6E4D" w14:paraId="1240243A" w14:textId="77777777">
        <w:trPr>
          <w:tblHeader/>
        </w:trPr>
        <w:tc>
          <w:tcPr>
            <w:tcW w:w="6084" w:type="dxa"/>
            <w:tcBorders>
              <w:top w:val="single" w:sz="6" w:space="0" w:color="CBD5E0"/>
              <w:left w:val="single" w:sz="6" w:space="0" w:color="CBD5E0"/>
              <w:bottom w:val="single" w:sz="6" w:space="0" w:color="CBD5E0"/>
              <w:right w:val="single" w:sz="6" w:space="0" w:color="CBD5E0"/>
            </w:tcBorders>
            <w:shd w:val="clear" w:color="auto" w:fill="F1F5F9"/>
          </w:tcPr>
          <w:p w14:paraId="12402437" w14:textId="77777777" w:rsidR="006F6E4D" w:rsidRDefault="000C6A66">
            <w:pPr>
              <w:pStyle w:val="normal1"/>
              <w:spacing w:before="120" w:after="120" w:line="300" w:lineRule="auto"/>
              <w:rPr>
                <w:b/>
                <w:bCs/>
                <w:sz w:val="20"/>
                <w:szCs w:val="20"/>
              </w:rPr>
            </w:pPr>
            <w:r>
              <w:rPr>
                <w:b/>
                <w:bCs/>
                <w:sz w:val="20"/>
                <w:szCs w:val="20"/>
              </w:rPr>
              <w:lastRenderedPageBreak/>
              <w:t>PARTIDA / CONCEPTO CONTABLE (PÉRDIDAS Y GANANCIAS)</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Pr>
          <w:p w14:paraId="12402438" w14:textId="77777777" w:rsidR="006F6E4D" w:rsidRDefault="000C6A66">
            <w:pPr>
              <w:pStyle w:val="normal1"/>
              <w:spacing w:before="120" w:after="120" w:line="300" w:lineRule="auto"/>
              <w:jc w:val="right"/>
              <w:rPr>
                <w:b/>
                <w:bCs/>
                <w:sz w:val="20"/>
                <w:szCs w:val="20"/>
              </w:rPr>
            </w:pPr>
            <w:r>
              <w:rPr>
                <w:b/>
                <w:bCs/>
                <w:sz w:val="20"/>
                <w:szCs w:val="20"/>
              </w:rPr>
              <w:t>IMPORTE REAL EJERCICIO 2025</w:t>
            </w:r>
          </w:p>
          <w:p w14:paraId="12402439" w14:textId="77777777" w:rsidR="006F6E4D" w:rsidRDefault="000C6A66">
            <w:pPr>
              <w:pStyle w:val="normal1"/>
              <w:rPr>
                <w:sz w:val="20"/>
                <w:szCs w:val="20"/>
              </w:rPr>
            </w:pPr>
            <w:r>
              <w:rPr>
                <w:sz w:val="20"/>
                <w:szCs w:val="20"/>
              </w:rPr>
              <w:t xml:space="preserve"> </w:t>
            </w:r>
          </w:p>
        </w:tc>
      </w:tr>
      <w:tr w:rsidR="006F6E4D" w14:paraId="1240243D"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3B" w14:textId="77777777" w:rsidR="006F6E4D" w:rsidRDefault="000C6A66">
            <w:pPr>
              <w:pStyle w:val="normal1"/>
              <w:spacing w:before="105" w:after="105" w:line="300" w:lineRule="auto"/>
              <w:rPr>
                <w:b/>
                <w:bCs/>
                <w:sz w:val="20"/>
                <w:szCs w:val="20"/>
              </w:rPr>
            </w:pPr>
            <w:r>
              <w:rPr>
                <w:b/>
                <w:bCs/>
                <w:sz w:val="20"/>
                <w:szCs w:val="20"/>
              </w:rPr>
              <w:t>1. Ingresos de la actividad propia</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3C" w14:textId="77777777" w:rsidR="006F6E4D" w:rsidRDefault="000C6A66">
            <w:pPr>
              <w:pStyle w:val="normal1"/>
              <w:spacing w:before="105" w:after="105" w:line="300" w:lineRule="auto"/>
              <w:jc w:val="right"/>
              <w:rPr>
                <w:b/>
                <w:bCs/>
                <w:sz w:val="20"/>
                <w:szCs w:val="20"/>
              </w:rPr>
            </w:pPr>
            <w:r>
              <w:rPr>
                <w:b/>
                <w:bCs/>
                <w:sz w:val="20"/>
                <w:szCs w:val="20"/>
              </w:rPr>
              <w:t>402.620,67 €</w:t>
            </w:r>
          </w:p>
        </w:tc>
      </w:tr>
      <w:tr w:rsidR="006F6E4D" w14:paraId="12402440"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1240243E" w14:textId="77777777" w:rsidR="006F6E4D" w:rsidRDefault="000C6A66">
            <w:pPr>
              <w:pStyle w:val="normal1"/>
              <w:spacing w:before="90" w:after="90" w:line="300" w:lineRule="auto"/>
              <w:rPr>
                <w:sz w:val="20"/>
                <w:szCs w:val="20"/>
              </w:rPr>
            </w:pPr>
            <w:r>
              <w:rPr>
                <w:sz w:val="20"/>
                <w:szCs w:val="20"/>
              </w:rPr>
              <w:t>a) Cuotas de personas asociadas y afiliadas</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1240243F" w14:textId="77777777" w:rsidR="006F6E4D" w:rsidRDefault="000C6A66">
            <w:pPr>
              <w:pStyle w:val="normal1"/>
              <w:spacing w:before="90" w:after="90" w:line="300" w:lineRule="auto"/>
              <w:jc w:val="right"/>
              <w:rPr>
                <w:sz w:val="20"/>
                <w:szCs w:val="20"/>
              </w:rPr>
            </w:pPr>
            <w:r>
              <w:rPr>
                <w:sz w:val="20"/>
                <w:szCs w:val="20"/>
              </w:rPr>
              <w:t>2.878,83 €</w:t>
            </w:r>
          </w:p>
        </w:tc>
      </w:tr>
      <w:tr w:rsidR="006F6E4D" w14:paraId="12402443"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12402441" w14:textId="77777777" w:rsidR="006F6E4D" w:rsidRDefault="000C6A66">
            <w:pPr>
              <w:pStyle w:val="normal1"/>
              <w:spacing w:before="90" w:after="90" w:line="300" w:lineRule="auto"/>
              <w:rPr>
                <w:sz w:val="20"/>
                <w:szCs w:val="20"/>
              </w:rPr>
            </w:pPr>
            <w:r>
              <w:rPr>
                <w:sz w:val="20"/>
                <w:szCs w:val="20"/>
              </w:rPr>
              <w:t>d) Subvenciones, donaciones y legados imputados al excedente</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12402442" w14:textId="77777777" w:rsidR="006F6E4D" w:rsidRDefault="000C6A66">
            <w:pPr>
              <w:pStyle w:val="normal1"/>
              <w:spacing w:before="90" w:after="90" w:line="300" w:lineRule="auto"/>
              <w:jc w:val="right"/>
              <w:rPr>
                <w:sz w:val="20"/>
                <w:szCs w:val="20"/>
              </w:rPr>
            </w:pPr>
            <w:r>
              <w:rPr>
                <w:sz w:val="20"/>
                <w:szCs w:val="20"/>
              </w:rPr>
              <w:t>399.741,84 €</w:t>
            </w:r>
          </w:p>
        </w:tc>
      </w:tr>
      <w:tr w:rsidR="006F6E4D" w14:paraId="12402446"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44" w14:textId="77777777" w:rsidR="006F6E4D" w:rsidRDefault="000C6A66">
            <w:pPr>
              <w:pStyle w:val="normal1"/>
              <w:spacing w:before="105" w:after="105" w:line="300" w:lineRule="auto"/>
              <w:rPr>
                <w:b/>
                <w:bCs/>
                <w:sz w:val="20"/>
                <w:szCs w:val="20"/>
              </w:rPr>
            </w:pPr>
            <w:r>
              <w:rPr>
                <w:b/>
                <w:bCs/>
                <w:sz w:val="20"/>
                <w:szCs w:val="20"/>
              </w:rPr>
              <w:t>6. Aprovisionamientos (Compras y suministros de talleres)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45" w14:textId="77777777" w:rsidR="006F6E4D" w:rsidRDefault="000C6A66">
            <w:pPr>
              <w:pStyle w:val="normal1"/>
              <w:spacing w:before="105" w:after="105" w:line="300" w:lineRule="auto"/>
              <w:jc w:val="right"/>
              <w:rPr>
                <w:color w:val="B91C1C"/>
                <w:sz w:val="20"/>
                <w:szCs w:val="20"/>
              </w:rPr>
            </w:pPr>
            <w:r>
              <w:rPr>
                <w:color w:val="B91C1C"/>
                <w:sz w:val="20"/>
                <w:szCs w:val="20"/>
              </w:rPr>
              <w:t>-7.446,87 €</w:t>
            </w:r>
          </w:p>
        </w:tc>
      </w:tr>
      <w:tr w:rsidR="006F6E4D" w14:paraId="12402449"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47" w14:textId="77777777" w:rsidR="006F6E4D" w:rsidRDefault="000C6A66">
            <w:pPr>
              <w:pStyle w:val="normal1"/>
              <w:spacing w:before="105" w:after="105" w:line="300" w:lineRule="auto"/>
              <w:rPr>
                <w:b/>
                <w:bCs/>
                <w:sz w:val="20"/>
                <w:szCs w:val="20"/>
              </w:rPr>
            </w:pPr>
            <w:r>
              <w:rPr>
                <w:b/>
                <w:bCs/>
                <w:sz w:val="20"/>
                <w:szCs w:val="20"/>
              </w:rPr>
              <w:t>8. Gastos de personal (Sueldos, salarios y cargas sociales)</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48" w14:textId="77777777" w:rsidR="006F6E4D" w:rsidRDefault="000C6A66">
            <w:pPr>
              <w:pStyle w:val="normal1"/>
              <w:spacing w:before="105" w:after="105" w:line="300" w:lineRule="auto"/>
              <w:jc w:val="right"/>
              <w:rPr>
                <w:color w:val="B91C1C"/>
                <w:sz w:val="20"/>
                <w:szCs w:val="20"/>
              </w:rPr>
            </w:pPr>
            <w:r>
              <w:rPr>
                <w:color w:val="B91C1C"/>
                <w:sz w:val="20"/>
                <w:szCs w:val="20"/>
              </w:rPr>
              <w:t>-317.216,68 €</w:t>
            </w:r>
          </w:p>
        </w:tc>
      </w:tr>
      <w:tr w:rsidR="006F6E4D" w14:paraId="1240244C"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4A" w14:textId="77777777" w:rsidR="006F6E4D" w:rsidRDefault="000C6A66">
            <w:pPr>
              <w:pStyle w:val="normal1"/>
              <w:spacing w:before="105" w:after="105" w:line="300" w:lineRule="auto"/>
              <w:rPr>
                <w:b/>
                <w:bCs/>
                <w:sz w:val="20"/>
                <w:szCs w:val="20"/>
              </w:rPr>
            </w:pPr>
            <w:r>
              <w:rPr>
                <w:b/>
                <w:bCs/>
                <w:sz w:val="20"/>
                <w:szCs w:val="20"/>
              </w:rPr>
              <w:t>9. Otros gastos de la actividad (Servicios exteriores, sedes, seguros y asesorías)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4B" w14:textId="77777777" w:rsidR="006F6E4D" w:rsidRDefault="000C6A66">
            <w:pPr>
              <w:pStyle w:val="normal1"/>
              <w:spacing w:before="105" w:after="105" w:line="300" w:lineRule="auto"/>
              <w:jc w:val="right"/>
              <w:rPr>
                <w:color w:val="B91C1C"/>
                <w:sz w:val="20"/>
                <w:szCs w:val="20"/>
              </w:rPr>
            </w:pPr>
            <w:r>
              <w:rPr>
                <w:color w:val="B91C1C"/>
                <w:sz w:val="20"/>
                <w:szCs w:val="20"/>
              </w:rPr>
              <w:t>-72.403,05 €</w:t>
            </w:r>
          </w:p>
        </w:tc>
      </w:tr>
      <w:tr w:rsidR="006F6E4D" w14:paraId="1240244F"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4D" w14:textId="77777777" w:rsidR="006F6E4D" w:rsidRDefault="000C6A66">
            <w:pPr>
              <w:pStyle w:val="normal1"/>
              <w:spacing w:before="105" w:after="105" w:line="300" w:lineRule="auto"/>
              <w:rPr>
                <w:b/>
                <w:bCs/>
                <w:sz w:val="20"/>
                <w:szCs w:val="20"/>
              </w:rPr>
            </w:pPr>
            <w:r>
              <w:rPr>
                <w:b/>
                <w:bCs/>
                <w:sz w:val="20"/>
                <w:szCs w:val="20"/>
              </w:rPr>
              <w:t>10. Amortización del inmovilizado material</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4E" w14:textId="77777777" w:rsidR="006F6E4D" w:rsidRDefault="000C6A66">
            <w:pPr>
              <w:pStyle w:val="normal1"/>
              <w:spacing w:before="105" w:after="105" w:line="300" w:lineRule="auto"/>
              <w:jc w:val="right"/>
              <w:rPr>
                <w:color w:val="B91C1C"/>
                <w:sz w:val="20"/>
                <w:szCs w:val="20"/>
              </w:rPr>
            </w:pPr>
            <w:r>
              <w:rPr>
                <w:color w:val="B91C1C"/>
                <w:sz w:val="20"/>
                <w:szCs w:val="20"/>
              </w:rPr>
              <w:t>-10.252,58 €</w:t>
            </w:r>
          </w:p>
        </w:tc>
      </w:tr>
      <w:tr w:rsidR="006F6E4D" w14:paraId="12402452"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50" w14:textId="77777777" w:rsidR="006F6E4D" w:rsidRDefault="000C6A66">
            <w:pPr>
              <w:pStyle w:val="normal1"/>
              <w:spacing w:before="105" w:after="105" w:line="300" w:lineRule="auto"/>
              <w:rPr>
                <w:b/>
                <w:bCs/>
                <w:sz w:val="20"/>
                <w:szCs w:val="20"/>
              </w:rPr>
            </w:pPr>
            <w:r>
              <w:rPr>
                <w:b/>
                <w:bCs/>
                <w:sz w:val="20"/>
                <w:szCs w:val="20"/>
              </w:rPr>
              <w:t>11. Subvenciones de capital traspasadas al excedente del ejercicio</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51" w14:textId="77777777" w:rsidR="006F6E4D" w:rsidRDefault="000C6A66">
            <w:pPr>
              <w:pStyle w:val="normal1"/>
              <w:spacing w:before="105" w:after="105" w:line="300" w:lineRule="auto"/>
              <w:jc w:val="right"/>
              <w:rPr>
                <w:sz w:val="20"/>
                <w:szCs w:val="20"/>
              </w:rPr>
            </w:pPr>
            <w:r>
              <w:rPr>
                <w:sz w:val="20"/>
                <w:szCs w:val="20"/>
              </w:rPr>
              <w:t>2.608,17 €</w:t>
            </w:r>
          </w:p>
        </w:tc>
      </w:tr>
      <w:tr w:rsidR="006F6E4D" w14:paraId="12402455" w14:textId="77777777">
        <w:tc>
          <w:tcPr>
            <w:tcW w:w="6084"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2402453" w14:textId="77777777" w:rsidR="006F6E4D" w:rsidRDefault="000C6A66">
            <w:pPr>
              <w:pStyle w:val="normal1"/>
              <w:spacing w:before="135" w:after="135" w:line="300" w:lineRule="auto"/>
              <w:rPr>
                <w:b/>
                <w:bCs/>
                <w:color w:val="0F172A"/>
                <w:sz w:val="20"/>
                <w:szCs w:val="20"/>
              </w:rPr>
            </w:pPr>
            <w:r>
              <w:rPr>
                <w:b/>
                <w:bCs/>
                <w:color w:val="0F172A"/>
                <w:sz w:val="20"/>
                <w:szCs w:val="20"/>
              </w:rPr>
              <w:t>EXCEDENTE DEL EJERCICIO / RESULTADO NETO CONTABLE:</w:t>
            </w:r>
          </w:p>
        </w:tc>
        <w:tc>
          <w:tcPr>
            <w:tcW w:w="3276"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2402454" w14:textId="77777777" w:rsidR="006F6E4D" w:rsidRDefault="000C6A66">
            <w:pPr>
              <w:pStyle w:val="normal1"/>
              <w:spacing w:before="135" w:after="135" w:line="300" w:lineRule="auto"/>
              <w:jc w:val="right"/>
              <w:rPr>
                <w:b/>
                <w:bCs/>
                <w:color w:val="B91C1C"/>
                <w:sz w:val="20"/>
                <w:szCs w:val="20"/>
              </w:rPr>
            </w:pPr>
            <w:r>
              <w:rPr>
                <w:b/>
                <w:bCs/>
                <w:color w:val="B91C1C"/>
                <w:sz w:val="20"/>
                <w:szCs w:val="20"/>
              </w:rPr>
              <w:t>-2.090,34 €</w:t>
            </w:r>
          </w:p>
        </w:tc>
      </w:tr>
    </w:tbl>
    <w:p w14:paraId="12402456" w14:textId="77777777" w:rsidR="006F6E4D" w:rsidRDefault="000C6A66">
      <w:pPr>
        <w:pStyle w:val="Ttulo3"/>
        <w:spacing w:before="375"/>
        <w:rPr>
          <w:color w:val="1E293B"/>
          <w:sz w:val="30"/>
          <w:szCs w:val="30"/>
        </w:rPr>
      </w:pPr>
      <w:r>
        <w:rPr>
          <w:color w:val="1E293B"/>
          <w:sz w:val="30"/>
          <w:szCs w:val="30"/>
        </w:rPr>
        <w:t>5. Situación Patrimonial y Financiera (Balance al 31/12/2025)</w:t>
      </w:r>
    </w:p>
    <w:p w14:paraId="12402457" w14:textId="77777777" w:rsidR="006F6E4D" w:rsidRDefault="000C6A66">
      <w:pPr>
        <w:pStyle w:val="normal1"/>
        <w:spacing w:line="300" w:lineRule="auto"/>
        <w:jc w:val="both"/>
        <w:rPr>
          <w:sz w:val="20"/>
          <w:szCs w:val="20"/>
        </w:rPr>
      </w:pPr>
      <w:r>
        <w:rPr>
          <w:sz w:val="20"/>
          <w:szCs w:val="20"/>
        </w:rPr>
        <w:t>La estructura económico-financiera de la entidad al cierre del ejercicio 2025 presenta un equilibrio sólido y solvente, reflejado en las siguientes magnitudes:</w:t>
      </w:r>
    </w:p>
    <w:p w14:paraId="12402458" w14:textId="77777777" w:rsidR="006F6E4D" w:rsidRDefault="000C6A66">
      <w:pPr>
        <w:pStyle w:val="normal1"/>
        <w:numPr>
          <w:ilvl w:val="0"/>
          <w:numId w:val="3"/>
        </w:numPr>
        <w:spacing w:line="300" w:lineRule="auto"/>
        <w:rPr>
          <w:sz w:val="24"/>
          <w:szCs w:val="24"/>
        </w:rPr>
      </w:pPr>
      <w:r>
        <w:rPr>
          <w:b/>
          <w:bCs/>
          <w:sz w:val="20"/>
          <w:szCs w:val="20"/>
        </w:rPr>
        <w:t>Total Activo: 230.819,57 €</w:t>
      </w:r>
      <w:r>
        <w:rPr>
          <w:sz w:val="20"/>
          <w:szCs w:val="20"/>
        </w:rPr>
        <w:t>, compuesto por un Activo No Corriente de 14.061,16 € (inmovilizado material neto de 27.703,55 € y ajuste por activos diferidos) y un Activo Corriente de 216.758,41 € (integrado fundamentalmente por 216.268,41 € en tesorería y cuentas bancarias de alta liquidez).</w:t>
      </w:r>
    </w:p>
    <w:p w14:paraId="12402459" w14:textId="77777777" w:rsidR="006F6E4D" w:rsidRDefault="000C6A66">
      <w:pPr>
        <w:pStyle w:val="normal1"/>
        <w:numPr>
          <w:ilvl w:val="0"/>
          <w:numId w:val="3"/>
        </w:numPr>
        <w:spacing w:line="300" w:lineRule="auto"/>
        <w:rPr>
          <w:sz w:val="24"/>
          <w:szCs w:val="24"/>
        </w:rPr>
      </w:pPr>
      <w:r>
        <w:rPr>
          <w:b/>
          <w:bCs/>
          <w:sz w:val="20"/>
          <w:szCs w:val="20"/>
        </w:rPr>
        <w:t>Patrimonio Neto: 214.184,87 €</w:t>
      </w:r>
      <w:r>
        <w:rPr>
          <w:sz w:val="20"/>
          <w:szCs w:val="20"/>
        </w:rPr>
        <w:t>, integrado por Fondos Propios de 75.855,99 € (Reservas voluntarias de 87.846,94 €, resultados de ejercicios anteriores acumulados de -9.900,61 € y el resultado del ejercicio 2025 de -2.090,34 €), junto a 138.328,88 € correspondientes a subvenciones de capital no reintegrables.</w:t>
      </w:r>
    </w:p>
    <w:p w14:paraId="1240245A" w14:textId="77777777" w:rsidR="006F6E4D" w:rsidRDefault="000C6A66">
      <w:pPr>
        <w:pStyle w:val="normal1"/>
        <w:numPr>
          <w:ilvl w:val="0"/>
          <w:numId w:val="3"/>
        </w:numPr>
        <w:spacing w:line="300" w:lineRule="auto"/>
        <w:rPr>
          <w:sz w:val="24"/>
          <w:szCs w:val="24"/>
        </w:rPr>
      </w:pPr>
      <w:r>
        <w:rPr>
          <w:b/>
          <w:bCs/>
          <w:sz w:val="20"/>
          <w:szCs w:val="20"/>
        </w:rPr>
        <w:t>Pasivo Corriente: 16.634,70 €</w:t>
      </w:r>
      <w:r>
        <w:rPr>
          <w:sz w:val="20"/>
          <w:szCs w:val="20"/>
        </w:rPr>
        <w:t xml:space="preserve">, correspondiente a deudas operativas a corto plazo con </w:t>
      </w:r>
      <w:r>
        <w:rPr>
          <w:sz w:val="20"/>
          <w:szCs w:val="20"/>
        </w:rPr>
        <w:lastRenderedPageBreak/>
        <w:t>acreedores por prestación de servicios y organismos de la Seguridad Social y Hacienda Pública derivadas de la gestión ordinaria, no existiendo deudas a largo plazo (Pasivo No Corriente: 0,00 €).</w:t>
      </w:r>
    </w:p>
    <w:p w14:paraId="1240245B" w14:textId="77777777" w:rsidR="006F6E4D" w:rsidRDefault="000C6A66">
      <w:pPr>
        <w:pStyle w:val="Ttulo3"/>
        <w:spacing w:before="375"/>
        <w:rPr>
          <w:color w:val="1E293B"/>
          <w:sz w:val="30"/>
          <w:szCs w:val="30"/>
        </w:rPr>
      </w:pPr>
      <w:r>
        <w:rPr>
          <w:color w:val="1E293B"/>
          <w:sz w:val="30"/>
          <w:szCs w:val="30"/>
        </w:rPr>
        <w:t>6. Relación Oficial de Subvenciones Concedidas en el Ejercicio 2025</w:t>
      </w:r>
    </w:p>
    <w:p w14:paraId="1240245C" w14:textId="77777777" w:rsidR="006F6E4D" w:rsidRDefault="000C6A66">
      <w:pPr>
        <w:pStyle w:val="normal1"/>
        <w:spacing w:line="300" w:lineRule="auto"/>
        <w:jc w:val="both"/>
        <w:rPr>
          <w:sz w:val="20"/>
          <w:szCs w:val="20"/>
        </w:rPr>
      </w:pPr>
      <w:r>
        <w:rPr>
          <w:sz w:val="20"/>
          <w:szCs w:val="20"/>
        </w:rPr>
        <w:t>En cumplimiento de las obligaciones de publicidad activa del artículo 38 de la Ley 12/2014 de Canarias, se detalla la relación íntegra de las ayudas concedidas a ASOMASAMEN en el ejercicio 2025:</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2808"/>
        <w:gridCol w:w="4680"/>
        <w:gridCol w:w="1872"/>
      </w:tblGrid>
      <w:tr w:rsidR="006F6E4D" w14:paraId="12402461" w14:textId="77777777">
        <w:trPr>
          <w:tblHeader/>
        </w:trPr>
        <w:tc>
          <w:tcPr>
            <w:tcW w:w="2808" w:type="dxa"/>
            <w:tcBorders>
              <w:top w:val="single" w:sz="6" w:space="0" w:color="CBD5E0"/>
              <w:left w:val="single" w:sz="6" w:space="0" w:color="CBD5E0"/>
              <w:bottom w:val="single" w:sz="6" w:space="0" w:color="CBD5E0"/>
              <w:right w:val="single" w:sz="6" w:space="0" w:color="CBD5E0"/>
            </w:tcBorders>
            <w:shd w:val="clear" w:color="auto" w:fill="F1F5F9"/>
          </w:tcPr>
          <w:p w14:paraId="1240245D" w14:textId="77777777" w:rsidR="006F6E4D" w:rsidRDefault="000C6A66">
            <w:pPr>
              <w:pStyle w:val="normal1"/>
              <w:spacing w:before="120" w:after="120" w:line="300" w:lineRule="auto"/>
              <w:rPr>
                <w:b/>
                <w:bCs/>
                <w:sz w:val="20"/>
                <w:szCs w:val="20"/>
              </w:rPr>
            </w:pPr>
            <w:r>
              <w:rPr>
                <w:b/>
                <w:bCs/>
                <w:sz w:val="20"/>
                <w:szCs w:val="20"/>
              </w:rPr>
              <w:t>ENTIDAD CONCEDENTE</w:t>
            </w:r>
          </w:p>
        </w:tc>
        <w:tc>
          <w:tcPr>
            <w:tcW w:w="4680" w:type="dxa"/>
            <w:tcBorders>
              <w:top w:val="single" w:sz="6" w:space="0" w:color="CBD5E0"/>
              <w:left w:val="single" w:sz="6" w:space="0" w:color="CBD5E0"/>
              <w:bottom w:val="single" w:sz="6" w:space="0" w:color="CBD5E0"/>
              <w:right w:val="single" w:sz="6" w:space="0" w:color="CBD5E0"/>
            </w:tcBorders>
            <w:shd w:val="clear" w:color="auto" w:fill="F1F5F9"/>
          </w:tcPr>
          <w:p w14:paraId="1240245E" w14:textId="77777777" w:rsidR="006F6E4D" w:rsidRDefault="000C6A66">
            <w:pPr>
              <w:pStyle w:val="normal1"/>
              <w:spacing w:before="120" w:after="120" w:line="300" w:lineRule="auto"/>
              <w:rPr>
                <w:b/>
                <w:bCs/>
                <w:sz w:val="20"/>
                <w:szCs w:val="20"/>
              </w:rPr>
            </w:pPr>
            <w:r>
              <w:rPr>
                <w:b/>
                <w:bCs/>
                <w:sz w:val="20"/>
                <w:szCs w:val="20"/>
              </w:rPr>
              <w:t>PROYECTO O PROGRAMA FINANCIADO</w:t>
            </w:r>
          </w:p>
        </w:tc>
        <w:tc>
          <w:tcPr>
            <w:tcW w:w="1872" w:type="dxa"/>
            <w:tcBorders>
              <w:top w:val="single" w:sz="6" w:space="0" w:color="CBD5E0"/>
              <w:left w:val="single" w:sz="6" w:space="0" w:color="CBD5E0"/>
              <w:bottom w:val="single" w:sz="6" w:space="0" w:color="CBD5E0"/>
              <w:right w:val="single" w:sz="6" w:space="0" w:color="CBD5E0"/>
            </w:tcBorders>
            <w:shd w:val="clear" w:color="auto" w:fill="F1F5F9"/>
          </w:tcPr>
          <w:p w14:paraId="1240245F" w14:textId="77777777" w:rsidR="006F6E4D" w:rsidRDefault="000C6A66">
            <w:pPr>
              <w:pStyle w:val="normal1"/>
              <w:spacing w:before="120" w:after="120" w:line="300" w:lineRule="auto"/>
              <w:jc w:val="right"/>
              <w:rPr>
                <w:b/>
                <w:bCs/>
                <w:sz w:val="20"/>
                <w:szCs w:val="20"/>
              </w:rPr>
            </w:pPr>
            <w:r>
              <w:rPr>
                <w:b/>
                <w:bCs/>
                <w:sz w:val="20"/>
                <w:szCs w:val="20"/>
              </w:rPr>
              <w:t>IMPORTE CONCEDIDO</w:t>
            </w:r>
          </w:p>
          <w:p w14:paraId="12402460" w14:textId="77777777" w:rsidR="006F6E4D" w:rsidRDefault="000C6A66">
            <w:pPr>
              <w:pStyle w:val="normal1"/>
              <w:rPr>
                <w:sz w:val="20"/>
                <w:szCs w:val="20"/>
              </w:rPr>
            </w:pPr>
            <w:r>
              <w:rPr>
                <w:sz w:val="20"/>
                <w:szCs w:val="20"/>
              </w:rPr>
              <w:t xml:space="preserve"> </w:t>
            </w:r>
          </w:p>
        </w:tc>
      </w:tr>
      <w:tr w:rsidR="006F6E4D" w14:paraId="12402465"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62" w14:textId="77777777" w:rsidR="006F6E4D" w:rsidRDefault="000C6A66">
            <w:pPr>
              <w:pStyle w:val="normal1"/>
              <w:spacing w:before="105" w:after="105" w:line="300" w:lineRule="auto"/>
              <w:rPr>
                <w:b/>
                <w:bCs/>
                <w:sz w:val="20"/>
                <w:szCs w:val="20"/>
              </w:rPr>
            </w:pPr>
            <w:r>
              <w:rPr>
                <w:b/>
                <w:bCs/>
                <w:sz w:val="20"/>
                <w:szCs w:val="20"/>
              </w:rPr>
              <w:t>Cabildo Insular de Fuerteventura</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63" w14:textId="77777777" w:rsidR="006F6E4D" w:rsidRDefault="000C6A66">
            <w:pPr>
              <w:pStyle w:val="normal1"/>
              <w:spacing w:before="105" w:after="105" w:line="300" w:lineRule="auto"/>
              <w:rPr>
                <w:sz w:val="20"/>
                <w:szCs w:val="20"/>
              </w:rPr>
            </w:pPr>
            <w:r>
              <w:rPr>
                <w:sz w:val="20"/>
                <w:szCs w:val="20"/>
              </w:rPr>
              <w:t>Gastos de Funcionamiento y Proyectos de Inclusión Social (Convenio)</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64" w14:textId="77777777" w:rsidR="006F6E4D" w:rsidRDefault="000C6A66">
            <w:pPr>
              <w:pStyle w:val="normal1"/>
              <w:spacing w:before="105" w:after="105" w:line="300" w:lineRule="auto"/>
              <w:jc w:val="right"/>
              <w:rPr>
                <w:b/>
                <w:bCs/>
                <w:sz w:val="20"/>
                <w:szCs w:val="20"/>
              </w:rPr>
            </w:pPr>
            <w:r>
              <w:rPr>
                <w:b/>
                <w:bCs/>
                <w:sz w:val="20"/>
                <w:szCs w:val="20"/>
              </w:rPr>
              <w:t>212.500,00 €</w:t>
            </w:r>
          </w:p>
        </w:tc>
      </w:tr>
      <w:tr w:rsidR="006F6E4D" w14:paraId="12402469"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66" w14:textId="77777777" w:rsidR="006F6E4D" w:rsidRDefault="000C6A66">
            <w:pPr>
              <w:pStyle w:val="normal1"/>
              <w:spacing w:before="105" w:after="105" w:line="300" w:lineRule="auto"/>
              <w:rPr>
                <w:sz w:val="20"/>
                <w:szCs w:val="20"/>
              </w:rPr>
            </w:pPr>
            <w:r>
              <w:rPr>
                <w:b/>
                <w:bCs/>
                <w:sz w:val="20"/>
                <w:szCs w:val="20"/>
              </w:rPr>
              <w:t>Gobierno de Canarias</w:t>
            </w:r>
            <w:r>
              <w:rPr>
                <w:sz w:val="20"/>
                <w:szCs w:val="20"/>
              </w:rPr>
              <w:t xml:space="preserve"> (Bienestar Social)</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67" w14:textId="77777777" w:rsidR="006F6E4D" w:rsidRDefault="000C6A66">
            <w:pPr>
              <w:pStyle w:val="normal1"/>
              <w:spacing w:before="105" w:after="105" w:line="300" w:lineRule="auto"/>
              <w:rPr>
                <w:sz w:val="20"/>
                <w:szCs w:val="20"/>
              </w:rPr>
            </w:pPr>
            <w:r>
              <w:rPr>
                <w:sz w:val="20"/>
                <w:szCs w:val="20"/>
              </w:rPr>
              <w:t>«EDUSAMEN: Educando en Salud Mental» y apoyo a otros proyectos</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68" w14:textId="77777777" w:rsidR="006F6E4D" w:rsidRDefault="000C6A66">
            <w:pPr>
              <w:pStyle w:val="normal1"/>
              <w:spacing w:before="105" w:after="105" w:line="300" w:lineRule="auto"/>
              <w:jc w:val="right"/>
              <w:rPr>
                <w:b/>
                <w:bCs/>
                <w:sz w:val="20"/>
                <w:szCs w:val="20"/>
              </w:rPr>
            </w:pPr>
            <w:r>
              <w:rPr>
                <w:b/>
                <w:bCs/>
                <w:sz w:val="20"/>
                <w:szCs w:val="20"/>
              </w:rPr>
              <w:t>175.000,00 €</w:t>
            </w:r>
          </w:p>
        </w:tc>
      </w:tr>
      <w:tr w:rsidR="006F6E4D" w14:paraId="1240246D"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6A" w14:textId="77777777" w:rsidR="006F6E4D" w:rsidRDefault="000C6A66">
            <w:pPr>
              <w:pStyle w:val="normal1"/>
              <w:spacing w:before="105" w:after="105" w:line="300" w:lineRule="auto"/>
              <w:rPr>
                <w:b/>
                <w:bCs/>
                <w:sz w:val="20"/>
                <w:szCs w:val="20"/>
              </w:rPr>
            </w:pPr>
            <w:r>
              <w:rPr>
                <w:b/>
                <w:bCs/>
                <w:sz w:val="20"/>
                <w:szCs w:val="20"/>
              </w:rPr>
              <w:t>Ilmo. Ayuntamiento de Antigua</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6B" w14:textId="77777777" w:rsidR="006F6E4D" w:rsidRDefault="000C6A66">
            <w:pPr>
              <w:pStyle w:val="normal1"/>
              <w:spacing w:before="105" w:after="105" w:line="300" w:lineRule="auto"/>
              <w:rPr>
                <w:sz w:val="20"/>
                <w:szCs w:val="20"/>
              </w:rPr>
            </w:pPr>
            <w:r>
              <w:rPr>
                <w:sz w:val="20"/>
                <w:szCs w:val="20"/>
              </w:rPr>
              <w:t>Horticultura «Sembrando semillas, recogiendo ilusiones»</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6C" w14:textId="77777777" w:rsidR="006F6E4D" w:rsidRDefault="000C6A66">
            <w:pPr>
              <w:pStyle w:val="normal1"/>
              <w:spacing w:before="105" w:after="105" w:line="300" w:lineRule="auto"/>
              <w:jc w:val="right"/>
              <w:rPr>
                <w:b/>
                <w:bCs/>
                <w:sz w:val="20"/>
                <w:szCs w:val="20"/>
              </w:rPr>
            </w:pPr>
            <w:r>
              <w:rPr>
                <w:b/>
                <w:bCs/>
                <w:sz w:val="20"/>
                <w:szCs w:val="20"/>
              </w:rPr>
              <w:t>20.000,00 €</w:t>
            </w:r>
          </w:p>
        </w:tc>
      </w:tr>
      <w:tr w:rsidR="006F6E4D" w14:paraId="12402471"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6E" w14:textId="77777777" w:rsidR="006F6E4D" w:rsidRDefault="000C6A66">
            <w:pPr>
              <w:pStyle w:val="normal1"/>
              <w:spacing w:before="105" w:after="105" w:line="300" w:lineRule="auto"/>
              <w:rPr>
                <w:b/>
                <w:bCs/>
                <w:sz w:val="20"/>
                <w:szCs w:val="20"/>
              </w:rPr>
            </w:pPr>
            <w:r>
              <w:rPr>
                <w:b/>
                <w:bCs/>
                <w:sz w:val="20"/>
                <w:szCs w:val="20"/>
              </w:rPr>
              <w:t>Excmo. Ayuntamiento de Puerto del Rosario</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6F" w14:textId="77777777" w:rsidR="006F6E4D" w:rsidRDefault="000C6A66">
            <w:pPr>
              <w:pStyle w:val="normal1"/>
              <w:spacing w:before="105" w:after="105" w:line="300" w:lineRule="auto"/>
              <w:rPr>
                <w:sz w:val="20"/>
                <w:szCs w:val="20"/>
              </w:rPr>
            </w:pPr>
            <w:r>
              <w:rPr>
                <w:sz w:val="20"/>
                <w:szCs w:val="20"/>
              </w:rPr>
              <w:t>Proyecto de Acompañamiento «Metamorfosis» (Salud Pública)</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70" w14:textId="77777777" w:rsidR="006F6E4D" w:rsidRDefault="000C6A66">
            <w:pPr>
              <w:pStyle w:val="normal1"/>
              <w:spacing w:before="105" w:after="105" w:line="300" w:lineRule="auto"/>
              <w:jc w:val="right"/>
              <w:rPr>
                <w:b/>
                <w:bCs/>
                <w:sz w:val="20"/>
                <w:szCs w:val="20"/>
              </w:rPr>
            </w:pPr>
            <w:r>
              <w:rPr>
                <w:b/>
                <w:bCs/>
                <w:sz w:val="20"/>
                <w:szCs w:val="20"/>
              </w:rPr>
              <w:t>16.000,00 €</w:t>
            </w:r>
          </w:p>
        </w:tc>
      </w:tr>
      <w:tr w:rsidR="006F6E4D" w14:paraId="12402475"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72" w14:textId="77777777" w:rsidR="006F6E4D" w:rsidRDefault="000C6A66">
            <w:pPr>
              <w:pStyle w:val="normal1"/>
              <w:spacing w:before="105" w:after="105" w:line="300" w:lineRule="auto"/>
              <w:rPr>
                <w:b/>
                <w:bCs/>
                <w:sz w:val="20"/>
                <w:szCs w:val="20"/>
              </w:rPr>
            </w:pPr>
            <w:r>
              <w:rPr>
                <w:b/>
                <w:bCs/>
                <w:sz w:val="20"/>
                <w:szCs w:val="20"/>
              </w:rPr>
              <w:t>Excmo. Ayuntamiento de Pájara</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73" w14:textId="77777777" w:rsidR="006F6E4D" w:rsidRDefault="000C6A66">
            <w:pPr>
              <w:pStyle w:val="normal1"/>
              <w:spacing w:before="105" w:after="105" w:line="300" w:lineRule="auto"/>
              <w:rPr>
                <w:sz w:val="20"/>
                <w:szCs w:val="20"/>
              </w:rPr>
            </w:pPr>
            <w:r>
              <w:rPr>
                <w:sz w:val="20"/>
                <w:szCs w:val="20"/>
              </w:rPr>
              <w:t>Proyecto de Acompañamiento en Salud Mental «Metamorfosis» (Zona Sur)</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12402474" w14:textId="77777777" w:rsidR="006F6E4D" w:rsidRDefault="000C6A66">
            <w:pPr>
              <w:pStyle w:val="normal1"/>
              <w:spacing w:before="105" w:after="105" w:line="300" w:lineRule="auto"/>
              <w:jc w:val="right"/>
              <w:rPr>
                <w:b/>
                <w:bCs/>
                <w:sz w:val="20"/>
                <w:szCs w:val="20"/>
              </w:rPr>
            </w:pPr>
            <w:r>
              <w:rPr>
                <w:b/>
                <w:bCs/>
                <w:sz w:val="20"/>
                <w:szCs w:val="20"/>
              </w:rPr>
              <w:t>10.000,00 €</w:t>
            </w:r>
          </w:p>
        </w:tc>
      </w:tr>
      <w:tr w:rsidR="006F6E4D" w14:paraId="12402479"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76" w14:textId="77777777" w:rsidR="006F6E4D" w:rsidRDefault="000C6A66">
            <w:pPr>
              <w:pStyle w:val="normal1"/>
              <w:spacing w:before="105" w:after="105" w:line="300" w:lineRule="auto"/>
              <w:rPr>
                <w:b/>
                <w:bCs/>
                <w:sz w:val="20"/>
                <w:szCs w:val="20"/>
              </w:rPr>
            </w:pPr>
            <w:r>
              <w:rPr>
                <w:b/>
                <w:bCs/>
                <w:sz w:val="20"/>
                <w:szCs w:val="20"/>
              </w:rPr>
              <w:t>Fundación La Caja de Canarias – CaixaBank</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77" w14:textId="77777777" w:rsidR="006F6E4D" w:rsidRDefault="000C6A66">
            <w:pPr>
              <w:pStyle w:val="normal1"/>
              <w:spacing w:before="105" w:after="105" w:line="300" w:lineRule="auto"/>
              <w:rPr>
                <w:sz w:val="20"/>
                <w:szCs w:val="20"/>
              </w:rPr>
            </w:pPr>
            <w:r>
              <w:rPr>
                <w:sz w:val="20"/>
                <w:szCs w:val="20"/>
              </w:rPr>
              <w:t>Cofinanciación Convocatoria de Acción Social 2025 (Terapia Hortícola)</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12402478" w14:textId="77777777" w:rsidR="006F6E4D" w:rsidRDefault="000C6A66">
            <w:pPr>
              <w:pStyle w:val="normal1"/>
              <w:spacing w:before="105" w:after="105" w:line="300" w:lineRule="auto"/>
              <w:jc w:val="right"/>
              <w:rPr>
                <w:b/>
                <w:bCs/>
                <w:sz w:val="20"/>
                <w:szCs w:val="20"/>
              </w:rPr>
            </w:pPr>
            <w:r>
              <w:rPr>
                <w:b/>
                <w:bCs/>
                <w:sz w:val="20"/>
                <w:szCs w:val="20"/>
              </w:rPr>
              <w:t>5.000,00 €</w:t>
            </w:r>
          </w:p>
        </w:tc>
      </w:tr>
      <w:tr w:rsidR="006F6E4D" w14:paraId="1240247C" w14:textId="77777777">
        <w:tc>
          <w:tcPr>
            <w:tcW w:w="7488" w:type="dxa"/>
            <w:gridSpan w:val="2"/>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240247A" w14:textId="77777777" w:rsidR="006F6E4D" w:rsidRDefault="000C6A66">
            <w:pPr>
              <w:pStyle w:val="normal1"/>
              <w:spacing w:before="135" w:after="135" w:line="300" w:lineRule="auto"/>
              <w:jc w:val="right"/>
              <w:rPr>
                <w:b/>
                <w:bCs/>
                <w:color w:val="0F172A"/>
                <w:sz w:val="20"/>
                <w:szCs w:val="20"/>
              </w:rPr>
            </w:pPr>
            <w:r>
              <w:rPr>
                <w:b/>
                <w:bCs/>
                <w:color w:val="0F172A"/>
                <w:sz w:val="20"/>
                <w:szCs w:val="20"/>
              </w:rPr>
              <w:t>TOTAL SUBVENCIONES Y AYUDAS CONCEDIDAS (2025):</w:t>
            </w:r>
          </w:p>
        </w:tc>
        <w:tc>
          <w:tcPr>
            <w:tcW w:w="1872"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1240247B" w14:textId="77777777" w:rsidR="006F6E4D" w:rsidRDefault="000C6A66">
            <w:pPr>
              <w:pStyle w:val="normal1"/>
              <w:spacing w:before="135" w:after="135" w:line="300" w:lineRule="auto"/>
              <w:jc w:val="right"/>
              <w:rPr>
                <w:b/>
                <w:bCs/>
                <w:color w:val="0F172A"/>
                <w:sz w:val="20"/>
                <w:szCs w:val="20"/>
              </w:rPr>
            </w:pPr>
            <w:r>
              <w:rPr>
                <w:b/>
                <w:bCs/>
                <w:color w:val="0F172A"/>
                <w:sz w:val="20"/>
                <w:szCs w:val="20"/>
              </w:rPr>
              <w:t>438.500,00 €</w:t>
            </w:r>
          </w:p>
        </w:tc>
      </w:tr>
    </w:tbl>
    <w:p w14:paraId="1240247D" w14:textId="77777777" w:rsidR="006F6E4D" w:rsidRDefault="000C6A66">
      <w:pPr>
        <w:pStyle w:val="Ttulo3"/>
        <w:spacing w:before="375"/>
        <w:rPr>
          <w:color w:val="1E293B"/>
          <w:sz w:val="30"/>
          <w:szCs w:val="30"/>
        </w:rPr>
      </w:pPr>
      <w:r>
        <w:rPr>
          <w:color w:val="1E293B"/>
          <w:sz w:val="30"/>
          <w:szCs w:val="30"/>
        </w:rPr>
        <w:t>7. Aplicación del Resultado Económico</w:t>
      </w:r>
    </w:p>
    <w:p w14:paraId="1240247E" w14:textId="77777777" w:rsidR="006F6E4D" w:rsidRDefault="000C6A66">
      <w:pPr>
        <w:pStyle w:val="normal1"/>
        <w:spacing w:after="375" w:line="300" w:lineRule="auto"/>
        <w:jc w:val="both"/>
        <w:rPr>
          <w:sz w:val="20"/>
          <w:szCs w:val="20"/>
        </w:rPr>
      </w:pPr>
      <w:r>
        <w:rPr>
          <w:sz w:val="20"/>
          <w:szCs w:val="20"/>
        </w:rPr>
        <w:t xml:space="preserve">El resultado contable del ejercicio 2025, cerrado con un déficit técnico de </w:t>
      </w:r>
      <w:r>
        <w:rPr>
          <w:b/>
          <w:bCs/>
          <w:sz w:val="20"/>
          <w:szCs w:val="20"/>
        </w:rPr>
        <w:t>-2.090,34 €</w:t>
      </w:r>
      <w:r>
        <w:rPr>
          <w:sz w:val="20"/>
          <w:szCs w:val="20"/>
        </w:rPr>
        <w:t xml:space="preserve"> motivado por las dotaciones a la amortización del inmovilizado material, es objeto de propuesta de compensación con cargo a los fondos propios acumulados de la entidad (cuenta de Reservas Voluntarias, dotada con 87.846,94 €), </w:t>
      </w:r>
      <w:r>
        <w:rPr>
          <w:sz w:val="20"/>
          <w:szCs w:val="20"/>
        </w:rPr>
        <w:lastRenderedPageBreak/>
        <w:t>manteniendo intacta la estabilidad patrimonial y la tesorería disponible.</w:t>
      </w:r>
    </w:p>
    <w:p w14:paraId="1240247F" w14:textId="77777777" w:rsidR="006F6E4D" w:rsidRDefault="000C6A66">
      <w:pPr>
        <w:pStyle w:val="Ttulo3"/>
        <w:spacing w:before="0"/>
        <w:rPr>
          <w:color w:val="1E293B"/>
          <w:sz w:val="30"/>
          <w:szCs w:val="30"/>
        </w:rPr>
      </w:pPr>
      <w:r>
        <w:rPr>
          <w:color w:val="1E293B"/>
          <w:sz w:val="30"/>
          <w:szCs w:val="30"/>
        </w:rPr>
        <w:t>8. Personal y Órganos de Gobierno</w:t>
      </w:r>
    </w:p>
    <w:p w14:paraId="12402480" w14:textId="77777777" w:rsidR="006F6E4D" w:rsidRDefault="000C6A66">
      <w:pPr>
        <w:pStyle w:val="normal1"/>
        <w:numPr>
          <w:ilvl w:val="0"/>
          <w:numId w:val="4"/>
        </w:numPr>
        <w:spacing w:line="300" w:lineRule="auto"/>
        <w:jc w:val="both"/>
        <w:rPr>
          <w:sz w:val="24"/>
          <w:szCs w:val="24"/>
        </w:rPr>
      </w:pPr>
      <w:r>
        <w:rPr>
          <w:b/>
          <w:bCs/>
          <w:sz w:val="20"/>
          <w:szCs w:val="20"/>
        </w:rPr>
        <w:t>Gratuidad de la Junta Directiva:</w:t>
      </w:r>
      <w:r>
        <w:rPr>
          <w:sz w:val="20"/>
          <w:szCs w:val="20"/>
        </w:rPr>
        <w:t xml:space="preserve"> En riguroso cumplimiento de los Estatutos de la entidad y del artículo 11.4 de la Ley Orgánica 1/2002 reguladora del Derecho de Asociación, se hace constar que los miembros de la Junta Directiva (Presidencia, Vicepresidencia, Secretaría, Tesorería y Vocalías) no han percibido retribución alguna, sueldo, dietas ni compensación económica por el ejercicio de sus funciones institucionales, desempeñando su labor con carácter totalmente voluntario y honorífico.</w:t>
      </w:r>
    </w:p>
    <w:p w14:paraId="12402481" w14:textId="77777777" w:rsidR="006F6E4D" w:rsidRDefault="000C6A66">
      <w:pPr>
        <w:pStyle w:val="normal1"/>
        <w:numPr>
          <w:ilvl w:val="0"/>
          <w:numId w:val="4"/>
        </w:numPr>
        <w:spacing w:line="300" w:lineRule="auto"/>
        <w:jc w:val="both"/>
        <w:rPr>
          <w:sz w:val="24"/>
          <w:szCs w:val="24"/>
        </w:rPr>
      </w:pPr>
      <w:r>
        <w:rPr>
          <w:b/>
          <w:bCs/>
          <w:sz w:val="20"/>
          <w:szCs w:val="20"/>
        </w:rPr>
        <w:t>Créditos y Anticipos:</w:t>
      </w:r>
      <w:r>
        <w:rPr>
          <w:sz w:val="20"/>
          <w:szCs w:val="20"/>
        </w:rPr>
        <w:t xml:space="preserve"> No existen créditos, préstamos concedidos ni obligaciones asumidas en concepto de fianza o aval a favor de ningún miembro del órgano de gobierno.</w:t>
      </w:r>
    </w:p>
    <w:p w14:paraId="12402482" w14:textId="77777777" w:rsidR="006F6E4D" w:rsidRDefault="000C6A66">
      <w:pPr>
        <w:pStyle w:val="normal1"/>
        <w:numPr>
          <w:ilvl w:val="0"/>
          <w:numId w:val="4"/>
        </w:numPr>
        <w:spacing w:line="300" w:lineRule="auto"/>
        <w:jc w:val="both"/>
        <w:rPr>
          <w:sz w:val="24"/>
          <w:szCs w:val="24"/>
        </w:rPr>
      </w:pPr>
      <w:r>
        <w:rPr>
          <w:b/>
          <w:bCs/>
          <w:sz w:val="20"/>
          <w:szCs w:val="20"/>
        </w:rPr>
        <w:t>Equipo Profesional:</w:t>
      </w:r>
      <w:r>
        <w:rPr>
          <w:sz w:val="20"/>
          <w:szCs w:val="20"/>
        </w:rPr>
        <w:t xml:space="preserve"> La entidad cerró el ejercicio 2025 con una plantilla media de 14 profesionales multidisciplinares (coordinación, trabajo social, administración, psicología, pedagogía, educación social e integración y monitores/as).</w:t>
      </w:r>
    </w:p>
    <w:p w14:paraId="12402483" w14:textId="77777777" w:rsidR="006F6E4D" w:rsidRDefault="000C6A66">
      <w:pPr>
        <w:pStyle w:val="Ttulo3"/>
        <w:spacing w:before="375"/>
        <w:rPr>
          <w:color w:val="1E293B"/>
          <w:sz w:val="30"/>
          <w:szCs w:val="30"/>
        </w:rPr>
      </w:pPr>
      <w:r>
        <w:rPr>
          <w:color w:val="1E293B"/>
          <w:sz w:val="30"/>
          <w:szCs w:val="30"/>
        </w:rPr>
        <w:t>9. Diligencia de Formulación Oficial</w:t>
      </w:r>
    </w:p>
    <w:p w14:paraId="12402484" w14:textId="77777777" w:rsidR="006F6E4D" w:rsidRDefault="000C6A66">
      <w:pPr>
        <w:pStyle w:val="normal1"/>
        <w:spacing w:after="450" w:line="300" w:lineRule="auto"/>
        <w:rPr>
          <w:sz w:val="20"/>
          <w:szCs w:val="20"/>
        </w:rPr>
      </w:pPr>
      <w:r>
        <w:rPr>
          <w:sz w:val="20"/>
          <w:szCs w:val="20"/>
        </w:rPr>
        <w:t>La presente Memoria Económica Abreviada del Ejercicio 2025 forma unidad con el Balance de Situación y la Cuenta de Pérdidas y Ganancias auditados/cerrados, habiendo sido formulada por los órganos de gobierno de ASOMASAMEN para su preceptiva publicidad activa en el Portal de Transparencia de la Asociación.</w:t>
      </w:r>
    </w:p>
    <w:p w14:paraId="12402485" w14:textId="77777777" w:rsidR="006F6E4D" w:rsidRDefault="000C6A66">
      <w:pPr>
        <w:pStyle w:val="normal1"/>
        <w:spacing w:after="600" w:line="300" w:lineRule="auto"/>
        <w:rPr>
          <w:sz w:val="20"/>
          <w:szCs w:val="20"/>
        </w:rPr>
      </w:pPr>
      <w:r>
        <w:rPr>
          <w:sz w:val="20"/>
          <w:szCs w:val="20"/>
        </w:rPr>
        <w:t>En Puerto del Rosario, a 20 de marzo de 2026</w:t>
      </w:r>
    </w:p>
    <w:p w14:paraId="12402491" w14:textId="77777777" w:rsidR="006F6E4D" w:rsidRDefault="006F6E4D">
      <w:pPr>
        <w:pStyle w:val="normal1"/>
        <w:spacing w:line="276" w:lineRule="auto"/>
        <w:rPr>
          <w:sz w:val="20"/>
          <w:szCs w:val="20"/>
        </w:rPr>
      </w:pPr>
    </w:p>
    <w:sectPr w:rsidR="006F6E4D">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embedRegular r:id="rId1" w:fontKey="{B7D143FE-83B3-4FE0-A61C-ADD03780DBF4}"/>
  </w:font>
  <w:font w:name="Microsoft YaHei">
    <w:panose1 w:val="020B0503020204020204"/>
    <w:charset w:val="00"/>
    <w:family w:val="roman"/>
    <w:notTrueType/>
    <w:pitch w:val="default"/>
    <w:embedRegular r:id="rId2" w:fontKey="{84370458-F6F2-4903-9CCE-78ABA18EDF93}"/>
  </w:font>
  <w:font w:name="Georgia">
    <w:panose1 w:val="02040502050405020303"/>
    <w:charset w:val="00"/>
    <w:family w:val="roman"/>
    <w:pitch w:val="variable"/>
    <w:sig w:usb0="00000287" w:usb1="00000000" w:usb2="00000000" w:usb3="00000000" w:csb0="0000009F" w:csb1="00000000"/>
    <w:embedItalic r:id="rId3" w:fontKey="{6ADE8E65-AD99-4BFD-AC8E-C5E2CDBC8400}"/>
  </w:font>
  <w:font w:name="Calibri">
    <w:panose1 w:val="020F0502020204030204"/>
    <w:charset w:val="00"/>
    <w:family w:val="swiss"/>
    <w:pitch w:val="variable"/>
    <w:sig w:usb0="E4002EFF" w:usb1="C200247B" w:usb2="00000009" w:usb3="00000000" w:csb0="000001FF" w:csb1="00000000"/>
    <w:embedRegular r:id="rId4" w:fontKey="{B6201C54-92D3-4787-8DE8-044915D290CF}"/>
  </w:font>
  <w:font w:name="Cambria">
    <w:panose1 w:val="02040503050406030204"/>
    <w:charset w:val="00"/>
    <w:family w:val="roman"/>
    <w:pitch w:val="variable"/>
    <w:sig w:usb0="E00006FF" w:usb1="420024FF" w:usb2="02000000" w:usb3="00000000" w:csb0="0000019F" w:csb1="00000000"/>
    <w:embedRegular r:id="rId5" w:fontKey="{7D75E188-9579-4A74-AFF8-F84FF1B668B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0BB"/>
    <w:multiLevelType w:val="multilevel"/>
    <w:tmpl w:val="B7549E40"/>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1" w15:restartNumberingAfterBreak="0">
    <w:nsid w:val="142D3C47"/>
    <w:multiLevelType w:val="multilevel"/>
    <w:tmpl w:val="7A3251BE"/>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2" w15:restartNumberingAfterBreak="0">
    <w:nsid w:val="1E1B3081"/>
    <w:multiLevelType w:val="multilevel"/>
    <w:tmpl w:val="EEA610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9C63F6D"/>
    <w:multiLevelType w:val="multilevel"/>
    <w:tmpl w:val="0A54B226"/>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4" w15:restartNumberingAfterBreak="0">
    <w:nsid w:val="41B61F95"/>
    <w:multiLevelType w:val="multilevel"/>
    <w:tmpl w:val="3794A2AA"/>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num w:numId="1" w16cid:durableId="1535312918">
    <w:abstractNumId w:val="4"/>
  </w:num>
  <w:num w:numId="2" w16cid:durableId="1250576396">
    <w:abstractNumId w:val="3"/>
  </w:num>
  <w:num w:numId="3" w16cid:durableId="1373076196">
    <w:abstractNumId w:val="0"/>
  </w:num>
  <w:num w:numId="4" w16cid:durableId="392584109">
    <w:abstractNumId w:val="1"/>
  </w:num>
  <w:num w:numId="5" w16cid:durableId="1967195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E4D"/>
    <w:rsid w:val="000C6A66"/>
    <w:rsid w:val="0046611F"/>
    <w:rsid w:val="006F6E4D"/>
    <w:rsid w:val="00881C5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02422"/>
  <w15:docId w15:val="{2496CE79-074C-45C4-90DD-8CC32F72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1"/>
    <w:next w:val="normal1"/>
    <w:uiPriority w:val="9"/>
    <w:qFormat/>
    <w:pPr>
      <w:spacing w:before="240" w:after="240"/>
      <w:outlineLvl w:val="0"/>
    </w:pPr>
    <w:rPr>
      <w:b/>
      <w:bCs/>
      <w:sz w:val="48"/>
      <w:szCs w:val="48"/>
    </w:rPr>
  </w:style>
  <w:style w:type="paragraph" w:styleId="Ttulo2">
    <w:name w:val="heading 2"/>
    <w:basedOn w:val="normal1"/>
    <w:next w:val="normal1"/>
    <w:uiPriority w:val="9"/>
    <w:unhideWhenUsed/>
    <w:qFormat/>
    <w:pPr>
      <w:spacing w:before="225" w:after="225"/>
      <w:outlineLvl w:val="1"/>
    </w:pPr>
    <w:rPr>
      <w:b/>
      <w:bCs/>
      <w:sz w:val="36"/>
      <w:szCs w:val="36"/>
    </w:rPr>
  </w:style>
  <w:style w:type="paragraph" w:styleId="Ttulo3">
    <w:name w:val="heading 3"/>
    <w:basedOn w:val="normal1"/>
    <w:next w:val="normal1"/>
    <w:uiPriority w:val="9"/>
    <w:unhideWhenUsed/>
    <w:qFormat/>
    <w:pPr>
      <w:spacing w:before="240" w:after="240"/>
      <w:outlineLvl w:val="2"/>
    </w:pPr>
    <w:rPr>
      <w:b/>
      <w:bCs/>
      <w:sz w:val="28"/>
      <w:szCs w:val="28"/>
    </w:rPr>
  </w:style>
  <w:style w:type="paragraph" w:styleId="Ttulo4">
    <w:name w:val="heading 4"/>
    <w:basedOn w:val="normal1"/>
    <w:next w:val="normal1"/>
    <w:uiPriority w:val="9"/>
    <w:semiHidden/>
    <w:unhideWhenUsed/>
    <w:qFormat/>
    <w:pPr>
      <w:spacing w:before="255" w:after="255"/>
      <w:outlineLvl w:val="3"/>
    </w:pPr>
    <w:rPr>
      <w:b/>
      <w:bCs/>
      <w:sz w:val="24"/>
      <w:szCs w:val="24"/>
    </w:rPr>
  </w:style>
  <w:style w:type="paragraph" w:styleId="Ttulo5">
    <w:name w:val="heading 5"/>
    <w:basedOn w:val="normal1"/>
    <w:next w:val="normal1"/>
    <w:uiPriority w:val="9"/>
    <w:semiHidden/>
    <w:unhideWhenUsed/>
    <w:qFormat/>
    <w:pPr>
      <w:spacing w:before="255" w:after="255"/>
      <w:outlineLvl w:val="4"/>
    </w:pPr>
    <w:rPr>
      <w:b/>
      <w:bCs/>
      <w:sz w:val="18"/>
      <w:szCs w:val="18"/>
    </w:rPr>
  </w:style>
  <w:style w:type="paragraph" w:styleId="Ttulo6">
    <w:name w:val="heading 6"/>
    <w:basedOn w:val="normal1"/>
    <w:next w:val="normal1"/>
    <w:uiPriority w:val="9"/>
    <w:semiHidden/>
    <w:unhideWhenUsed/>
    <w:qFormat/>
    <w:pP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1"/>
    <w:next w:val="Textoindependiente"/>
    <w:uiPriority w:val="10"/>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Ttulouser">
    <w:name w:val="Título (user)"/>
    <w:basedOn w:val="Normal"/>
    <w:next w:val="Textoindependiente"/>
    <w:qFormat/>
    <w:pPr>
      <w:keepNext/>
      <w:spacing w:before="240" w:after="120"/>
    </w:pPr>
    <w:rPr>
      <w:rFonts w:ascii="Liberation Sans" w:eastAsia="Microsoft YaHei" w:hAnsi="Liberation Sans"/>
      <w:sz w:val="28"/>
      <w:szCs w:val="28"/>
    </w:rPr>
  </w:style>
  <w:style w:type="paragraph" w:customStyle="1" w:styleId="ndiceuser">
    <w:name w:val="Índice (user)"/>
    <w:basedOn w:val="Normal"/>
    <w:qFormat/>
    <w:pPr>
      <w:suppressLineNumbers/>
    </w:pPr>
  </w:style>
  <w:style w:type="paragraph" w:customStyle="1" w:styleId="normal1">
    <w:name w:val="normal1"/>
    <w:qFormat/>
    <w:pPr>
      <w:widowControl w:val="0"/>
    </w:pPr>
  </w:style>
  <w:style w:type="paragraph" w:styleId="Subttulo">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7685</Characters>
  <Application>Microsoft Office Word</Application>
  <DocSecurity>0</DocSecurity>
  <Lines>64</Lines>
  <Paragraphs>18</Paragraphs>
  <ScaleCrop>false</ScaleCrop>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Jose Luis  Antolín</cp:lastModifiedBy>
  <cp:revision>2</cp:revision>
  <dcterms:created xsi:type="dcterms:W3CDTF">2026-10-13T14:36:00Z</dcterms:created>
  <dcterms:modified xsi:type="dcterms:W3CDTF">2026-10-13T14:36:00Z</dcterms:modified>
  <dc:language>es-ES</dc:language>
</cp:coreProperties>
</file>